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1E" w:rsidRPr="007F31D8" w:rsidRDefault="0048561E" w:rsidP="001F3D24">
      <w:pPr>
        <w:pStyle w:val="Header"/>
        <w:spacing w:line="276" w:lineRule="auto"/>
        <w:ind w:left="-709"/>
        <w:jc w:val="center"/>
        <w:rPr>
          <w:rFonts w:ascii="Times New Roman" w:hAnsi="Times New Roman"/>
          <w:color w:val="002060"/>
          <w:sz w:val="44"/>
          <w:lang w:val="bg-BG"/>
        </w:rPr>
      </w:pPr>
    </w:p>
    <w:p w:rsidR="00F2081C" w:rsidRPr="007F31D8" w:rsidRDefault="00F2081C" w:rsidP="001F3D24">
      <w:pPr>
        <w:pStyle w:val="Header"/>
        <w:spacing w:line="276" w:lineRule="auto"/>
        <w:ind w:left="-709"/>
        <w:jc w:val="center"/>
        <w:rPr>
          <w:rFonts w:ascii="Times New Roman" w:hAnsi="Times New Roman"/>
          <w:color w:val="002060"/>
          <w:sz w:val="44"/>
          <w:lang w:val="bg-BG"/>
        </w:rPr>
      </w:pPr>
      <w:r w:rsidRPr="007F31D8">
        <w:rPr>
          <w:rFonts w:ascii="Times New Roman" w:hAnsi="Times New Roman"/>
          <w:color w:val="002060"/>
          <w:sz w:val="44"/>
          <w:lang w:val="bg-BG"/>
        </w:rPr>
        <w:t xml:space="preserve">Резюме </w:t>
      </w:r>
    </w:p>
    <w:p w:rsidR="00F2081C" w:rsidRPr="007F31D8" w:rsidRDefault="00F2081C" w:rsidP="001F3D24">
      <w:pPr>
        <w:pStyle w:val="Header"/>
        <w:spacing w:line="276" w:lineRule="auto"/>
        <w:jc w:val="center"/>
        <w:rPr>
          <w:rFonts w:ascii="Times New Roman" w:hAnsi="Times New Roman"/>
          <w:color w:val="002060"/>
          <w:sz w:val="44"/>
          <w:lang w:val="bg-BG"/>
        </w:rPr>
      </w:pPr>
      <w:r w:rsidRPr="007F31D8">
        <w:rPr>
          <w:rFonts w:ascii="Times New Roman" w:hAnsi="Times New Roman"/>
          <w:color w:val="002060"/>
          <w:sz w:val="44"/>
          <w:lang w:val="bg-BG"/>
        </w:rPr>
        <w:t>Програма за трансгранично сътрудничество по ИПП България</w:t>
      </w:r>
      <w:r w:rsidR="00FA36E7">
        <w:rPr>
          <w:rFonts w:ascii="Times New Roman" w:hAnsi="Times New Roman"/>
          <w:color w:val="002060"/>
          <w:sz w:val="44"/>
          <w:lang w:val="en-US"/>
        </w:rPr>
        <w:t xml:space="preserve"> </w:t>
      </w:r>
      <w:r w:rsidRPr="007F31D8">
        <w:rPr>
          <w:rFonts w:ascii="Times New Roman" w:hAnsi="Times New Roman"/>
          <w:color w:val="002060"/>
          <w:sz w:val="44"/>
          <w:lang w:val="bg-BG"/>
        </w:rPr>
        <w:t>-</w:t>
      </w:r>
      <w:r w:rsidR="00FA36E7">
        <w:rPr>
          <w:rFonts w:ascii="Times New Roman" w:hAnsi="Times New Roman"/>
          <w:color w:val="002060"/>
          <w:sz w:val="44"/>
          <w:lang w:val="en-US"/>
        </w:rPr>
        <w:t xml:space="preserve"> </w:t>
      </w:r>
      <w:r w:rsidRPr="007F31D8">
        <w:rPr>
          <w:rFonts w:ascii="Times New Roman" w:hAnsi="Times New Roman"/>
          <w:color w:val="002060"/>
          <w:sz w:val="44"/>
          <w:lang w:val="bg-BG"/>
        </w:rPr>
        <w:t>Сърбия 2014</w:t>
      </w:r>
      <w:r w:rsidR="00FA36E7">
        <w:rPr>
          <w:rFonts w:ascii="Times New Roman" w:hAnsi="Times New Roman"/>
          <w:color w:val="002060"/>
          <w:sz w:val="44"/>
          <w:lang w:val="en-US"/>
        </w:rPr>
        <w:t xml:space="preserve"> </w:t>
      </w:r>
      <w:r w:rsidRPr="007F31D8">
        <w:rPr>
          <w:rFonts w:ascii="Times New Roman" w:hAnsi="Times New Roman"/>
          <w:color w:val="002060"/>
          <w:sz w:val="44"/>
          <w:lang w:val="bg-BG"/>
        </w:rPr>
        <w:t>-</w:t>
      </w:r>
      <w:r w:rsidR="00FA36E7">
        <w:rPr>
          <w:rFonts w:ascii="Times New Roman" w:hAnsi="Times New Roman"/>
          <w:color w:val="002060"/>
          <w:sz w:val="44"/>
          <w:lang w:val="en-US"/>
        </w:rPr>
        <w:t xml:space="preserve"> </w:t>
      </w:r>
      <w:r w:rsidRPr="007F31D8">
        <w:rPr>
          <w:rFonts w:ascii="Times New Roman" w:hAnsi="Times New Roman"/>
          <w:color w:val="002060"/>
          <w:sz w:val="44"/>
          <w:lang w:val="bg-BG"/>
        </w:rPr>
        <w:t>2020</w:t>
      </w:r>
    </w:p>
    <w:p w:rsidR="0089009E" w:rsidRPr="007F31D8" w:rsidRDefault="0089009E" w:rsidP="001F3D24">
      <w:pPr>
        <w:rPr>
          <w:rFonts w:ascii="Times New Roman" w:hAnsi="Times New Roman" w:cs="Times New Roman"/>
        </w:rPr>
      </w:pPr>
    </w:p>
    <w:p w:rsidR="0048561E" w:rsidRPr="007F31D8" w:rsidRDefault="0048561E" w:rsidP="001F3D24">
      <w:pPr>
        <w:spacing w:before="24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</w:p>
    <w:p w:rsidR="00F2081C" w:rsidRPr="007F31D8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t xml:space="preserve">Допустима област на програмата </w:t>
      </w:r>
    </w:p>
    <w:p w:rsidR="00F2081C" w:rsidRPr="007F31D8" w:rsidRDefault="00F338DD" w:rsidP="001F3D24">
      <w:pPr>
        <w:widowControl w:val="0"/>
        <w:spacing w:before="120" w:after="120"/>
        <w:jc w:val="both"/>
        <w:rPr>
          <w:rFonts w:ascii="Times New Roman" w:hAnsi="Times New Roman" w:cs="Times New Roman"/>
        </w:rPr>
      </w:pPr>
      <w:r w:rsidRPr="007F31D8">
        <w:rPr>
          <w:rFonts w:ascii="Times New Roman" w:hAnsi="Times New Roman" w:cs="Times New Roman"/>
          <w:noProof/>
          <w:lang w:eastAsia="bg-BG"/>
        </w:rPr>
        <w:drawing>
          <wp:anchor distT="0" distB="0" distL="114300" distR="114300" simplePos="0" relativeHeight="251658240" behindDoc="1" locked="0" layoutInCell="1" allowOverlap="1" wp14:anchorId="1D82D738" wp14:editId="3F873C1C">
            <wp:simplePos x="0" y="0"/>
            <wp:positionH relativeFrom="column">
              <wp:posOffset>3368040</wp:posOffset>
            </wp:positionH>
            <wp:positionV relativeFrom="paragraph">
              <wp:posOffset>660400</wp:posOffset>
            </wp:positionV>
            <wp:extent cx="2200275" cy="3136265"/>
            <wp:effectExtent l="247650" t="247650" r="257175" b="254635"/>
            <wp:wrapTight wrapText="bothSides">
              <wp:wrapPolygon edited="0">
                <wp:start x="-374" y="-1706"/>
                <wp:lineTo x="-2431" y="-1574"/>
                <wp:lineTo x="-2431" y="21648"/>
                <wp:lineTo x="-748" y="23091"/>
                <wp:lineTo x="-561" y="23223"/>
                <wp:lineTo x="22068" y="23223"/>
                <wp:lineTo x="22255" y="23091"/>
                <wp:lineTo x="23938" y="21648"/>
                <wp:lineTo x="23938" y="525"/>
                <wp:lineTo x="22068" y="-1443"/>
                <wp:lineTo x="21881" y="-1706"/>
                <wp:lineTo x="-374" y="-1706"/>
              </wp:wrapPolygon>
            </wp:wrapTight>
            <wp:docPr id="7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3136265"/>
                    </a:xfrm>
                    <a:prstGeom prst="rect">
                      <a:avLst/>
                    </a:prstGeom>
                    <a:solidFill>
                      <a:srgbClr val="EDEDED"/>
                    </a:solidFill>
                    <a:ln w="88897">
                      <a:solidFill>
                        <a:srgbClr val="FFFFFF"/>
                      </a:solidFill>
                      <a:prstDash val="solid"/>
                    </a:ln>
                    <a:effectLst>
                      <a:outerShdw blurRad="152400" dir="16200000" algn="tl">
                        <a:srgbClr val="0000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81C" w:rsidRPr="007F31D8">
        <w:rPr>
          <w:rFonts w:ascii="Times New Roman" w:hAnsi="Times New Roman" w:cs="Times New Roman"/>
          <w:sz w:val="24"/>
          <w:szCs w:val="24"/>
          <w:lang w:eastAsia="ar-SA"/>
        </w:rPr>
        <w:t>Допустимата гранична област на Програмата за трансгранично сътрудничество (ТГС) по Инструмента за предприсъединителна помощ (ИПП) България – Сърбия (2014</w:t>
      </w:r>
      <w:r w:rsidR="00FA36E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F2081C" w:rsidRPr="007F31D8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="00FA36E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="00F2081C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2020 г.) обхваща </w:t>
      </w:r>
      <w:r w:rsidR="00F2081C"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територия от</w:t>
      </w:r>
      <w:r w:rsidR="00F2081C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2081C"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43 933 кв.</w:t>
      </w:r>
      <w:r w:rsidR="00FA36E7">
        <w:rPr>
          <w:rFonts w:ascii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r w:rsidR="00F2081C"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км.</w:t>
      </w:r>
      <w:r w:rsidR="00F2081C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, или около 22% от територията на двете страни. Областта граничи с Румъния на север и с Република Македония на юг. </w:t>
      </w:r>
    </w:p>
    <w:p w:rsidR="00F2081C" w:rsidRPr="007F31D8" w:rsidRDefault="00F2081C" w:rsidP="001F3D24">
      <w:pPr>
        <w:jc w:val="both"/>
        <w:rPr>
          <w:rFonts w:ascii="Times New Roman" w:hAnsi="Times New Roman" w:cs="Times New Roman"/>
          <w:sz w:val="24"/>
          <w:szCs w:val="24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Допустимата област на Програмата </w:t>
      </w:r>
      <w:r w:rsidRPr="007F31D8">
        <w:rPr>
          <w:rFonts w:ascii="Times New Roman" w:hAnsi="Times New Roman" w:cs="Times New Roman"/>
          <w:sz w:val="24"/>
          <w:szCs w:val="24"/>
        </w:rPr>
        <w:t xml:space="preserve">включва 13 административно-териториални единици: </w:t>
      </w:r>
      <w:r w:rsidRPr="007F31D8">
        <w:rPr>
          <w:rFonts w:ascii="Times New Roman" w:hAnsi="Times New Roman" w:cs="Times New Roman"/>
          <w:b/>
          <w:sz w:val="24"/>
          <w:szCs w:val="24"/>
        </w:rPr>
        <w:t>6 области в България</w:t>
      </w:r>
      <w:r w:rsidRPr="007F31D8">
        <w:rPr>
          <w:rFonts w:ascii="Times New Roman" w:hAnsi="Times New Roman" w:cs="Times New Roman"/>
          <w:sz w:val="24"/>
          <w:szCs w:val="24"/>
        </w:rPr>
        <w:t xml:space="preserve">, което отговаря на ниво NUTS III (ЕВРОСТАТ), и </w:t>
      </w:r>
      <w:r w:rsidRPr="007F31D8">
        <w:rPr>
          <w:rFonts w:ascii="Times New Roman" w:hAnsi="Times New Roman" w:cs="Times New Roman"/>
          <w:b/>
          <w:sz w:val="24"/>
          <w:szCs w:val="24"/>
        </w:rPr>
        <w:t>7 области в Сърбия</w:t>
      </w:r>
      <w:r w:rsidRPr="007F31D8">
        <w:rPr>
          <w:rFonts w:ascii="Times New Roman" w:hAnsi="Times New Roman" w:cs="Times New Roman"/>
          <w:sz w:val="24"/>
          <w:szCs w:val="24"/>
        </w:rPr>
        <w:t xml:space="preserve"> еквивалентни на ниво NUTS III. В по-голямата си част териториалният обхват на програмата е идентичен с този от програмния период 2007 – 2013 г., с допълнение от 2 нови области: от българска страна – област Враца, и от сръбска страна – област </w:t>
      </w:r>
      <w:proofErr w:type="spellStart"/>
      <w:r w:rsidRPr="007F31D8">
        <w:rPr>
          <w:rFonts w:ascii="Times New Roman" w:hAnsi="Times New Roman" w:cs="Times New Roman"/>
          <w:sz w:val="24"/>
          <w:szCs w:val="24"/>
        </w:rPr>
        <w:t>Топлица</w:t>
      </w:r>
      <w:proofErr w:type="spellEnd"/>
      <w:r w:rsidRPr="007F31D8">
        <w:rPr>
          <w:rFonts w:ascii="Times New Roman" w:hAnsi="Times New Roman" w:cs="Times New Roman"/>
          <w:sz w:val="24"/>
          <w:szCs w:val="24"/>
        </w:rPr>
        <w:t>.</w:t>
      </w:r>
    </w:p>
    <w:p w:rsidR="00F2081C" w:rsidRPr="007F31D8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t xml:space="preserve">Визия </w:t>
      </w:r>
    </w:p>
    <w:p w:rsidR="00F2081C" w:rsidRDefault="00F2081C" w:rsidP="001F3D24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>Програмата за трансгранично сътрудничество по ИПП България</w:t>
      </w:r>
      <w:r w:rsidR="00FA36E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="00FA36E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Сърбия 2014</w:t>
      </w:r>
      <w:r w:rsidR="00FA36E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="00FA36E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2020 г. допринася за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интелигентен, устойчив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 и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приобщаващ растеж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, и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взаимодейства със Стратегията на ЕС за Дунавския регион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 чрез прилагането на един интегриран подход по отношение на общите териториални предизвикателства. Визията за развитието на граничния регион, в контекста на Стратегия „Европа 2020“ може да се формулира в едно кратко послание: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„Добре съхранените регионални ресурси - хора, земя и културно-историческо наследство - гаранция за трансгранична идентичност и устойчиво развитие на граничния регион".</w:t>
      </w:r>
    </w:p>
    <w:p w:rsidR="007F31D8" w:rsidRPr="007F31D8" w:rsidRDefault="007F31D8" w:rsidP="001F3D24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F2081C" w:rsidRPr="007F31D8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lastRenderedPageBreak/>
        <w:t xml:space="preserve">Обща стратегическа цел </w:t>
      </w:r>
    </w:p>
    <w:p w:rsidR="00F2081C" w:rsidRPr="007F31D8" w:rsidRDefault="00F2081C" w:rsidP="001F3D24">
      <w:pPr>
        <w:widowControl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lang w:eastAsia="ar-SA"/>
        </w:rPr>
        <w:t xml:space="preserve">Създаването на подходяща за развитието на региона социално-икономическа среда, необходима за развитието на граничния регион изисква да се адресират </w:t>
      </w:r>
      <w:r w:rsidRPr="007F31D8">
        <w:rPr>
          <w:rFonts w:ascii="Times New Roman" w:hAnsi="Times New Roman" w:cs="Times New Roman"/>
          <w:b/>
          <w:sz w:val="24"/>
          <w:lang w:eastAsia="ar-SA"/>
        </w:rPr>
        <w:t>две основни предизвикателства</w:t>
      </w:r>
      <w:r w:rsidRPr="007F31D8">
        <w:rPr>
          <w:rFonts w:ascii="Times New Roman" w:hAnsi="Times New Roman" w:cs="Times New Roman"/>
          <w:sz w:val="24"/>
          <w:lang w:eastAsia="ar-SA"/>
        </w:rPr>
        <w:t xml:space="preserve">: </w:t>
      </w:r>
      <w:r w:rsidRPr="007F31D8">
        <w:rPr>
          <w:rFonts w:ascii="Times New Roman" w:hAnsi="Times New Roman" w:cs="Times New Roman"/>
          <w:b/>
          <w:sz w:val="24"/>
          <w:lang w:eastAsia="ar-SA"/>
        </w:rPr>
        <w:t>(1)</w:t>
      </w:r>
      <w:r w:rsidRPr="007F31D8">
        <w:rPr>
          <w:rFonts w:ascii="Times New Roman" w:hAnsi="Times New Roman" w:cs="Times New Roman"/>
          <w:sz w:val="24"/>
          <w:lang w:eastAsia="ar-SA"/>
        </w:rPr>
        <w:t xml:space="preserve"> да се инвестира във валоризация и ефективно управление на територията; и </w:t>
      </w:r>
      <w:r w:rsidRPr="007F31D8">
        <w:rPr>
          <w:rFonts w:ascii="Times New Roman" w:hAnsi="Times New Roman" w:cs="Times New Roman"/>
          <w:b/>
          <w:sz w:val="24"/>
          <w:lang w:eastAsia="ar-SA"/>
        </w:rPr>
        <w:t>(2)</w:t>
      </w:r>
      <w:r w:rsidRPr="007F31D8">
        <w:rPr>
          <w:rFonts w:ascii="Times New Roman" w:hAnsi="Times New Roman" w:cs="Times New Roman"/>
          <w:sz w:val="24"/>
          <w:lang w:eastAsia="ar-SA"/>
        </w:rPr>
        <w:t xml:space="preserve"> да се увеличи броя на трансграничните мрежи, взаимодействия и връзки в икономическата, социалната и екологичната сфера. </w:t>
      </w:r>
    </w:p>
    <w:p w:rsidR="00F2081C" w:rsidRPr="007F31D8" w:rsidRDefault="00F2081C" w:rsidP="001F3D24">
      <w:pPr>
        <w:jc w:val="both"/>
        <w:rPr>
          <w:rFonts w:ascii="Times New Roman" w:hAnsi="Times New Roman" w:cs="Times New Roman"/>
          <w:b/>
          <w:sz w:val="24"/>
          <w:lang w:eastAsia="ar-SA"/>
        </w:rPr>
      </w:pPr>
      <w:r w:rsidRPr="007F31D8">
        <w:rPr>
          <w:rFonts w:ascii="Times New Roman" w:hAnsi="Times New Roman" w:cs="Times New Roman"/>
          <w:sz w:val="24"/>
          <w:lang w:eastAsia="ar-SA"/>
        </w:rPr>
        <w:t xml:space="preserve">Тези предизвикателства трябва да се разглеждат и като стълбове на новата Програма, отразени в нейната обща стратегическа цел: </w:t>
      </w:r>
      <w:r w:rsidRPr="007F31D8">
        <w:rPr>
          <w:rFonts w:ascii="Times New Roman" w:hAnsi="Times New Roman" w:cs="Times New Roman"/>
          <w:b/>
          <w:sz w:val="24"/>
          <w:lang w:eastAsia="ar-SA"/>
        </w:rPr>
        <w:t>да се насърчи балансираното и устойчиво развитие на трансграничния регион между България и Сърбия - интегриран в европейското пространство чрез интелигентен икономически растеж, приспособяване към промените в околната среда и подобряване на културата на обучение.</w:t>
      </w:r>
    </w:p>
    <w:p w:rsidR="00F2081C" w:rsidRPr="007F31D8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t xml:space="preserve">Тематични приоритети </w:t>
      </w:r>
    </w:p>
    <w:p w:rsidR="00F2081C" w:rsidRPr="007F31D8" w:rsidRDefault="00F2081C" w:rsidP="001F3D24">
      <w:pPr>
        <w:jc w:val="both"/>
        <w:rPr>
          <w:rFonts w:ascii="Times New Roman" w:hAnsi="Times New Roman" w:cs="Times New Roman"/>
          <w:sz w:val="24"/>
          <w:lang w:eastAsia="ar-SA"/>
        </w:rPr>
      </w:pPr>
      <w:r w:rsidRPr="007F31D8">
        <w:rPr>
          <w:rFonts w:ascii="Times New Roman" w:hAnsi="Times New Roman" w:cs="Times New Roman"/>
          <w:sz w:val="24"/>
          <w:lang w:eastAsia="ar-SA"/>
        </w:rPr>
        <w:t>Имайки предвид общата концепция за трансгранично сътрудничество и въз основа на териториален анализ</w:t>
      </w:r>
      <w:r w:rsidR="00DC5416">
        <w:rPr>
          <w:rFonts w:ascii="Times New Roman" w:hAnsi="Times New Roman" w:cs="Times New Roman"/>
          <w:sz w:val="24"/>
          <w:lang w:val="en-US" w:eastAsia="ar-SA"/>
        </w:rPr>
        <w:t xml:space="preserve"> </w:t>
      </w:r>
      <w:r w:rsidR="00DC5416">
        <w:rPr>
          <w:rFonts w:ascii="Times New Roman" w:hAnsi="Times New Roman" w:cs="Times New Roman"/>
          <w:sz w:val="24"/>
          <w:lang w:eastAsia="ar-SA"/>
        </w:rPr>
        <w:t>на</w:t>
      </w:r>
      <w:r w:rsidRPr="007F31D8">
        <w:rPr>
          <w:rFonts w:ascii="Times New Roman" w:hAnsi="Times New Roman" w:cs="Times New Roman"/>
          <w:sz w:val="24"/>
          <w:lang w:eastAsia="ar-SA"/>
        </w:rPr>
        <w:t xml:space="preserve"> сравнителни</w:t>
      </w:r>
      <w:r w:rsidR="00DC5416">
        <w:rPr>
          <w:rFonts w:ascii="Times New Roman" w:hAnsi="Times New Roman" w:cs="Times New Roman"/>
          <w:sz w:val="24"/>
          <w:lang w:eastAsia="ar-SA"/>
        </w:rPr>
        <w:t>те</w:t>
      </w:r>
      <w:r w:rsidRPr="007F31D8">
        <w:rPr>
          <w:rFonts w:ascii="Times New Roman" w:hAnsi="Times New Roman" w:cs="Times New Roman"/>
          <w:sz w:val="24"/>
          <w:lang w:eastAsia="ar-SA"/>
        </w:rPr>
        <w:t xml:space="preserve"> предимства, ресурси</w:t>
      </w:r>
      <w:r w:rsidR="00DC5416">
        <w:rPr>
          <w:rFonts w:ascii="Times New Roman" w:hAnsi="Times New Roman" w:cs="Times New Roman"/>
          <w:sz w:val="24"/>
          <w:lang w:eastAsia="ar-SA"/>
        </w:rPr>
        <w:t>те</w:t>
      </w:r>
      <w:r w:rsidRPr="007F31D8">
        <w:rPr>
          <w:rFonts w:ascii="Times New Roman" w:hAnsi="Times New Roman" w:cs="Times New Roman"/>
          <w:sz w:val="24"/>
          <w:lang w:eastAsia="ar-SA"/>
        </w:rPr>
        <w:t xml:space="preserve"> и потенциал</w:t>
      </w:r>
      <w:r w:rsidR="00DC5416">
        <w:rPr>
          <w:rFonts w:ascii="Times New Roman" w:hAnsi="Times New Roman" w:cs="Times New Roman"/>
          <w:sz w:val="24"/>
          <w:lang w:eastAsia="ar-SA"/>
        </w:rPr>
        <w:t>а</w:t>
      </w:r>
      <w:r w:rsidRPr="007F31D8">
        <w:rPr>
          <w:rFonts w:ascii="Times New Roman" w:hAnsi="Times New Roman" w:cs="Times New Roman"/>
          <w:sz w:val="24"/>
          <w:lang w:eastAsia="ar-SA"/>
        </w:rPr>
        <w:t xml:space="preserve"> за развитие на трансграничния регион, Програмата цели посочената по-горе стратегическа визия да бъде постигната чрез </w:t>
      </w:r>
      <w:r w:rsidRPr="007F31D8">
        <w:rPr>
          <w:rFonts w:ascii="Times New Roman" w:hAnsi="Times New Roman" w:cs="Times New Roman"/>
          <w:b/>
          <w:sz w:val="24"/>
          <w:lang w:eastAsia="ar-SA"/>
        </w:rPr>
        <w:t>интегрирана подкрепа</w:t>
      </w:r>
      <w:r w:rsidRPr="007F31D8">
        <w:rPr>
          <w:rFonts w:ascii="Times New Roman" w:hAnsi="Times New Roman" w:cs="Times New Roman"/>
          <w:sz w:val="24"/>
          <w:lang w:eastAsia="ar-SA"/>
        </w:rPr>
        <w:t xml:space="preserve"> в следните тематични области</w:t>
      </w:r>
      <w:r w:rsidRPr="007F31D8">
        <w:rPr>
          <w:rStyle w:val="FootnoteReference"/>
          <w:rFonts w:ascii="Times New Roman" w:hAnsi="Times New Roman" w:cs="Times New Roman"/>
          <w:sz w:val="24"/>
          <w:lang w:eastAsia="ar-SA"/>
        </w:rPr>
        <w:footnoteReference w:id="1"/>
      </w:r>
      <w:r w:rsidRPr="007F31D8">
        <w:rPr>
          <w:rFonts w:ascii="Times New Roman" w:hAnsi="Times New Roman" w:cs="Times New Roman"/>
          <w:sz w:val="24"/>
          <w:lang w:eastAsia="ar-SA"/>
        </w:rPr>
        <w:t>:</w:t>
      </w:r>
    </w:p>
    <w:p w:rsidR="00F2081C" w:rsidRPr="007F31D8" w:rsidRDefault="00F2081C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ind w:right="176"/>
        <w:rPr>
          <w:b/>
          <w:szCs w:val="24"/>
          <w:lang w:val="bg-BG" w:eastAsia="ar-SA"/>
        </w:rPr>
      </w:pPr>
      <w:r w:rsidRPr="007F31D8">
        <w:rPr>
          <w:b/>
          <w:szCs w:val="24"/>
          <w:lang w:val="bg-BG" w:eastAsia="ar-SA"/>
        </w:rPr>
        <w:t xml:space="preserve">Тематичен приоритет (d): Насърчаване на туризма и културното и природното наследство   </w:t>
      </w:r>
    </w:p>
    <w:p w:rsidR="00F2081C" w:rsidRPr="007F31D8" w:rsidRDefault="00F2081C" w:rsidP="00FA0137">
      <w:pPr>
        <w:widowControl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>Опазването и развитието на трансграничната система от защитени природни и културни ценности с цел поддържане на екологичното равновесие, природната и културна идентичност на територията и за интегриране на тези ценности в съвременния живот се разглежда като приоритет за развитието на региона в програмния период 2014</w:t>
      </w:r>
      <w:r w:rsidR="00DC541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="00DC541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2020 г. </w:t>
      </w:r>
    </w:p>
    <w:p w:rsidR="00F2081C" w:rsidRPr="007F31D8" w:rsidRDefault="00F2081C" w:rsidP="001F3D24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>Туризмът като икономически сектор се разглежда преди всичко в аспекта на неговия потенциал за развитие и ориентация. Следователно, предложените интервенции по Програмата са насочени към подпомагане на конкурентоспособността на граничния регион и съществуващите икономически предимства, особено тези, свързани с неговите уникални природни и културни ценности, като същевременно ги валоризира чрез устойчиво развитие на туристическия сектор.</w:t>
      </w:r>
    </w:p>
    <w:p w:rsidR="00F2081C" w:rsidRPr="007F31D8" w:rsidRDefault="00F2081C" w:rsidP="001F3D24">
      <w:pPr>
        <w:pStyle w:val="ListParagraph"/>
        <w:widowControl w:val="0"/>
        <w:numPr>
          <w:ilvl w:val="0"/>
          <w:numId w:val="1"/>
        </w:numPr>
        <w:tabs>
          <w:tab w:val="left" w:pos="3152"/>
        </w:tabs>
        <w:spacing w:before="120" w:after="120" w:line="276" w:lineRule="auto"/>
        <w:ind w:right="175"/>
        <w:rPr>
          <w:b/>
          <w:szCs w:val="24"/>
          <w:lang w:val="bg-BG" w:eastAsia="ar-SA"/>
        </w:rPr>
      </w:pPr>
      <w:r w:rsidRPr="007F31D8">
        <w:rPr>
          <w:b/>
          <w:szCs w:val="24"/>
          <w:lang w:val="bg-BG" w:eastAsia="ar-SA"/>
        </w:rPr>
        <w:t xml:space="preserve">Тематичен приоритет (e): Инвестиране в младежта, образованието и изграждането на умения </w:t>
      </w:r>
    </w:p>
    <w:p w:rsidR="00F2081C" w:rsidRPr="007F31D8" w:rsidRDefault="00F2081C" w:rsidP="001F3D24">
      <w:pPr>
        <w:widowControl w:val="0"/>
        <w:tabs>
          <w:tab w:val="left" w:pos="3152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Младежта е ключът към бъдещото устойчиво и иновативно развитие на граничния регион. Ето защо, Програмата предвижда инвестиционна подкрепа за изграждане на една по-добра среда за обучение и развитие на младежта в трансграничния регион, чрез използване на партньорски модели в  сферата на икономическото, социално и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екологичното предприемачество,  както и създаване на младежки мрежи от двете страни на границата. </w:t>
      </w:r>
    </w:p>
    <w:p w:rsidR="00F338DD" w:rsidRPr="007F31D8" w:rsidRDefault="00F2081C" w:rsidP="001F3D24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>Интегрираният подход в тази област има за цел да ангажира младите хора в изграждането на едно по-светло и сигурно бъдеще за себе си, своите семейства и общности.</w:t>
      </w:r>
    </w:p>
    <w:p w:rsidR="00F2081C" w:rsidRPr="007F31D8" w:rsidRDefault="00F2081C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b/>
          <w:sz w:val="22"/>
          <w:szCs w:val="24"/>
          <w:lang w:val="bg-BG" w:eastAsia="ar-SA"/>
        </w:rPr>
      </w:pPr>
      <w:r w:rsidRPr="007F31D8">
        <w:rPr>
          <w:b/>
          <w:sz w:val="22"/>
          <w:szCs w:val="24"/>
          <w:lang w:val="bg-BG" w:eastAsia="ar-SA"/>
        </w:rPr>
        <w:t xml:space="preserve">Тематичен приоритет (b): Опазване на околната среда и насърчаване на действията за приспособяване към изменението на климата и за смекчаване на изменението на климата, превенция и управление на риска  </w:t>
      </w:r>
    </w:p>
    <w:p w:rsidR="00F2081C" w:rsidRPr="007F31D8" w:rsidRDefault="00F2081C" w:rsidP="001F3D24">
      <w:pPr>
        <w:widowControl w:val="0"/>
        <w:tabs>
          <w:tab w:val="left" w:pos="3152"/>
        </w:tabs>
        <w:spacing w:before="120" w:after="120"/>
        <w:ind w:right="17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Опазването и възстановяването на екологичното равновесие и приспособяването към изменението на климата, както и опазването на природните ресурси в трансграничен контекст, очевидно са области, които трябва да бъдат адресирани по един интегриран начин. </w:t>
      </w:r>
    </w:p>
    <w:p w:rsidR="00F2081C" w:rsidRPr="007F31D8" w:rsidRDefault="00F2081C" w:rsidP="001F3D24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Съвместни и координирани действия в граничния регион допринасят за създаването на </w:t>
      </w:r>
      <w:proofErr w:type="spellStart"/>
      <w:r w:rsidRPr="007F31D8">
        <w:rPr>
          <w:rFonts w:ascii="Times New Roman" w:hAnsi="Times New Roman" w:cs="Times New Roman"/>
          <w:sz w:val="24"/>
          <w:szCs w:val="24"/>
          <w:lang w:eastAsia="ar-SA"/>
        </w:rPr>
        <w:t>синергични</w:t>
      </w:r>
      <w:proofErr w:type="spellEnd"/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 ефекти в областта на опазването на околната среда и управление на ресурсите. Това гарантира постигането на желаната стратегическа визия и изпълнението на стратегическите цели за опазване на природното и културно наследство, за устойчиво развитие на туризма в трансграничния регион и подобряване на качеството на живот (вкл. на младежта).</w:t>
      </w:r>
    </w:p>
    <w:p w:rsidR="00F338DD" w:rsidRPr="007F31D8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t>Външна съгласуваност</w:t>
      </w:r>
    </w:p>
    <w:p w:rsidR="00F338DD" w:rsidRPr="007F31D8" w:rsidRDefault="00F338DD" w:rsidP="001F3D24">
      <w:pPr>
        <w:spacing w:before="240" w:after="120"/>
        <w:ind w:right="31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2081C" w:rsidRPr="007F31D8" w:rsidRDefault="00F2081C" w:rsidP="001F3D24">
      <w:pPr>
        <w:ind w:left="-284"/>
        <w:jc w:val="both"/>
        <w:rPr>
          <w:rFonts w:ascii="Times New Roman" w:hAnsi="Times New Roman" w:cs="Times New Roman"/>
        </w:rPr>
      </w:pPr>
      <w:r w:rsidRPr="007F31D8">
        <w:rPr>
          <w:rFonts w:ascii="Times New Roman" w:hAnsi="Times New Roman" w:cs="Times New Roman"/>
          <w:b/>
          <w:noProof/>
          <w:color w:val="002060"/>
          <w:sz w:val="32"/>
          <w:lang w:eastAsia="bg-BG"/>
        </w:rPr>
        <w:drawing>
          <wp:inline distT="0" distB="0" distL="0" distR="0" wp14:anchorId="4219E3ED" wp14:editId="7649C832">
            <wp:extent cx="6107502" cy="3027872"/>
            <wp:effectExtent l="0" t="0" r="7620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955" cy="30276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81C" w:rsidRPr="007F31D8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t xml:space="preserve">Стратегия на програмата </w:t>
      </w:r>
    </w:p>
    <w:p w:rsidR="00F2081C" w:rsidRPr="007F31D8" w:rsidRDefault="00F2081C" w:rsidP="001F3D24">
      <w:pPr>
        <w:widowControl w:val="0"/>
        <w:tabs>
          <w:tab w:val="left" w:pos="3152"/>
        </w:tabs>
        <w:spacing w:before="120" w:after="120"/>
        <w:ind w:right="17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Избраните тематични приоритети са структурирани в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3 приоритетни оси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, отразяващи нуждите и предизвикателствата, идентифицирани в извършения териториален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(ситуационен) анализ на допустимата област на Програмата: </w:t>
      </w:r>
    </w:p>
    <w:p w:rsidR="00F2081C" w:rsidRPr="007F31D8" w:rsidRDefault="00F2081C" w:rsidP="001F3D24">
      <w:pPr>
        <w:jc w:val="both"/>
        <w:rPr>
          <w:rFonts w:ascii="Times New Roman" w:hAnsi="Times New Roman" w:cs="Times New Roman"/>
        </w:rPr>
      </w:pPr>
      <w:r w:rsidRPr="007F31D8">
        <w:rPr>
          <w:rFonts w:ascii="Times New Roman" w:hAnsi="Times New Roman" w:cs="Times New Roman"/>
          <w:noProof/>
          <w:lang w:eastAsia="bg-BG"/>
        </w:rPr>
        <w:drawing>
          <wp:inline distT="0" distB="0" distL="0" distR="0" wp14:anchorId="079222D9" wp14:editId="0C4F9BE7">
            <wp:extent cx="5762444" cy="3140015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444" cy="314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081C" w:rsidRPr="007F31D8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t xml:space="preserve">Бюджет на програмата </w:t>
      </w:r>
    </w:p>
    <w:p w:rsidR="00F2081C" w:rsidRPr="007F31D8" w:rsidRDefault="00F2081C" w:rsidP="001F3D24">
      <w:pPr>
        <w:widowControl w:val="0"/>
        <w:tabs>
          <w:tab w:val="left" w:pos="3152"/>
        </w:tabs>
        <w:spacing w:before="120" w:after="120"/>
        <w:ind w:right="175"/>
        <w:jc w:val="both"/>
        <w:rPr>
          <w:rFonts w:ascii="Times New Roman" w:hAnsi="Times New Roman" w:cs="Times New Roman"/>
          <w:sz w:val="24"/>
          <w:szCs w:val="24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Общият бюджет на Програмата е в размер на </w:t>
      </w:r>
      <w:r w:rsidR="0001678B">
        <w:rPr>
          <w:rFonts w:ascii="Times New Roman" w:hAnsi="Times New Roman" w:cs="Times New Roman"/>
          <w:sz w:val="24"/>
          <w:szCs w:val="24"/>
          <w:lang w:eastAsia="ar-SA"/>
        </w:rPr>
        <w:t>около</w:t>
      </w:r>
      <w:bookmarkStart w:id="0" w:name="_GoBack"/>
      <w:bookmarkEnd w:id="0"/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34 млн. евро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, от които 85% се отпускат от Европейския фонд за регионално развитие (ЕФРР) и Инструмента за предприсъединителна помощ (ИПП), а 15% са национално </w:t>
      </w:r>
      <w:proofErr w:type="spellStart"/>
      <w:r w:rsidRPr="007F31D8">
        <w:rPr>
          <w:rFonts w:ascii="Times New Roman" w:hAnsi="Times New Roman" w:cs="Times New Roman"/>
          <w:sz w:val="24"/>
          <w:szCs w:val="24"/>
          <w:lang w:eastAsia="ar-SA"/>
        </w:rPr>
        <w:t>съфинансиране</w:t>
      </w:r>
      <w:proofErr w:type="spellEnd"/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, разпределени по приоритетните оси на Програмата, както следва: </w:t>
      </w:r>
    </w:p>
    <w:p w:rsidR="00F2081C" w:rsidRPr="007F31D8" w:rsidRDefault="00F2081C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b/>
          <w:szCs w:val="24"/>
          <w:lang w:val="bg-BG" w:eastAsia="ar-SA"/>
        </w:rPr>
      </w:pPr>
      <w:r w:rsidRPr="007F31D8">
        <w:rPr>
          <w:b/>
          <w:szCs w:val="24"/>
          <w:lang w:val="bg-BG" w:eastAsia="ar-SA"/>
        </w:rPr>
        <w:t xml:space="preserve">Приоритетна ос 1: Устойчив туризъм – 35% </w:t>
      </w:r>
    </w:p>
    <w:p w:rsidR="00F2081C" w:rsidRPr="007F31D8" w:rsidRDefault="00F2081C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b/>
          <w:szCs w:val="24"/>
          <w:lang w:val="bg-BG" w:eastAsia="ar-SA"/>
        </w:rPr>
      </w:pPr>
      <w:r w:rsidRPr="007F31D8">
        <w:rPr>
          <w:b/>
          <w:szCs w:val="24"/>
          <w:lang w:val="bg-BG" w:eastAsia="ar-SA"/>
        </w:rPr>
        <w:t xml:space="preserve">Приоритетна ос 2: Младежи – 25% </w:t>
      </w:r>
    </w:p>
    <w:p w:rsidR="00F2081C" w:rsidRPr="007F31D8" w:rsidRDefault="00F2081C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b/>
          <w:szCs w:val="24"/>
          <w:lang w:val="bg-BG" w:eastAsia="ar-SA"/>
        </w:rPr>
      </w:pPr>
      <w:r w:rsidRPr="007F31D8">
        <w:rPr>
          <w:b/>
          <w:szCs w:val="24"/>
          <w:lang w:val="bg-BG" w:eastAsia="ar-SA"/>
        </w:rPr>
        <w:t xml:space="preserve">Приоритетна ос 3: Околна среда – 30 % </w:t>
      </w:r>
    </w:p>
    <w:p w:rsidR="00F2081C" w:rsidRPr="007F31D8" w:rsidRDefault="00F2081C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b/>
          <w:szCs w:val="24"/>
          <w:lang w:val="bg-BG" w:eastAsia="ar-SA"/>
        </w:rPr>
      </w:pPr>
      <w:r w:rsidRPr="007F31D8">
        <w:rPr>
          <w:b/>
          <w:szCs w:val="24"/>
          <w:lang w:val="bg-BG" w:eastAsia="ar-SA"/>
        </w:rPr>
        <w:t xml:space="preserve">Приоритетна ос 4: Техническа помощ – 10% </w:t>
      </w:r>
    </w:p>
    <w:p w:rsidR="00F2081C" w:rsidRPr="007F31D8" w:rsidRDefault="00F2081C" w:rsidP="001F3D24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>Финансовият ангажимент по всяка от приоритетните оси е свързан с постигането на очакваните резултати, с изпълнението на планираните видове дейности по всяка приоритетна ос, както и с видовете инвестиции, които трябва да се извършат от бенефициентите.</w:t>
      </w:r>
    </w:p>
    <w:p w:rsidR="00F2081C" w:rsidRPr="007F31D8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t xml:space="preserve">Подбор на операции </w:t>
      </w:r>
    </w:p>
    <w:p w:rsidR="00F2081C" w:rsidRPr="007F31D8" w:rsidRDefault="00F2081C" w:rsidP="001F3D24">
      <w:pPr>
        <w:widowControl w:val="0"/>
        <w:tabs>
          <w:tab w:val="left" w:pos="3152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Програмата ще бъде изпълнявана чрез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Покани за набиране на проектни предложения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 и/или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стратегически проекти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. Подборът на операции следва да се извърши </w:t>
      </w:r>
      <w:r w:rsidRPr="007F31D8">
        <w:rPr>
          <w:rFonts w:ascii="Times New Roman" w:hAnsi="Times New Roman" w:cs="Times New Roman"/>
          <w:b/>
          <w:sz w:val="24"/>
          <w:szCs w:val="24"/>
          <w:lang w:eastAsia="ar-SA"/>
        </w:rPr>
        <w:t>на ниво „специфични цели“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, напр. потенциалните кандидати трябва да участват с проектно предложение, съсредоточено само върху една Специфична цел по една Приоритетна ос. </w:t>
      </w:r>
    </w:p>
    <w:p w:rsidR="00F2081C" w:rsidRPr="007F31D8" w:rsidRDefault="00F2081C" w:rsidP="001F3D24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Подробните критерии за оценка на предложенията ще бъдат одобрени от Съвместния комитет за наблюдение и ще бъдат предоставени на потенциалните кандидати чрез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документацията по „Поканите за набиране на проектни предложения“, която ще бъде подготвяна и разпространявана от Управляващия орган.</w:t>
      </w:r>
    </w:p>
    <w:p w:rsidR="00F2081C" w:rsidRPr="001F3D24" w:rsidRDefault="00F2081C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1F3D24">
        <w:rPr>
          <w:rFonts w:ascii="Times New Roman" w:hAnsi="Times New Roman" w:cs="Times New Roman"/>
          <w:color w:val="002060"/>
          <w:sz w:val="32"/>
        </w:rPr>
        <w:t xml:space="preserve">Приоритетна ос 1 – </w:t>
      </w:r>
      <w:r w:rsidR="00080782" w:rsidRPr="001F3D24">
        <w:rPr>
          <w:rFonts w:ascii="Times New Roman" w:hAnsi="Times New Roman" w:cs="Times New Roman"/>
          <w:color w:val="002060"/>
          <w:sz w:val="32"/>
        </w:rPr>
        <w:t>Устойчив туризъм</w:t>
      </w:r>
    </w:p>
    <w:p w:rsidR="00772585" w:rsidRPr="007F31D8" w:rsidRDefault="00772585" w:rsidP="001F3D24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>Специфична цел</w:t>
      </w:r>
      <w:r w:rsidRPr="007F31D8">
        <w:rPr>
          <w:rFonts w:ascii="Times New Roman" w:hAnsi="Times New Roman" w:cs="Times New Roman"/>
          <w:b/>
          <w:bCs/>
          <w:color w:val="FFFFFF"/>
          <w:spacing w:val="20"/>
          <w:sz w:val="24"/>
          <w:szCs w:val="24"/>
        </w:rPr>
        <w:t xml:space="preserve"> </w:t>
      </w:r>
      <w:r w:rsidRPr="007F31D8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1.1 </w:t>
      </w:r>
      <w:r w:rsidRPr="007F31D8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bg-BG"/>
        </w:rPr>
        <w:t xml:space="preserve">ТУРИСТИЧЕСКА ПРИВЛЕКАТЕЛНОСТ: </w:t>
      </w:r>
      <w:r w:rsidRPr="007F31D8">
        <w:rPr>
          <w:rFonts w:ascii="Times New Roman" w:hAnsi="Times New Roman" w:cs="Times New Roman"/>
          <w:sz w:val="24"/>
          <w:szCs w:val="24"/>
        </w:rPr>
        <w:t>Подкрепа за развитието на конкурентноспособни туристически атракции, които допринасят за диверсификация на туристическия продукт(и) в трансграничния регион</w:t>
      </w:r>
    </w:p>
    <w:p w:rsidR="00772585" w:rsidRPr="007F31D8" w:rsidRDefault="00772585" w:rsidP="001F3D24">
      <w:pPr>
        <w:spacing w:before="120" w:after="120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>Очакван резултат</w:t>
      </w:r>
      <w:r w:rsidRPr="007F31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31D8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proofErr w:type="spellStart"/>
      <w:r w:rsidRPr="007F31D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spellEnd"/>
      <w:r w:rsidRPr="007F31D8">
        <w:rPr>
          <w:rFonts w:ascii="Times New Roman" w:hAnsi="Times New Roman" w:cs="Times New Roman"/>
          <w:b/>
          <w:color w:val="000000"/>
          <w:sz w:val="24"/>
          <w:szCs w:val="24"/>
        </w:rPr>
        <w:t>.1</w:t>
      </w:r>
      <w:r w:rsidR="007F31D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7F31D8">
        <w:rPr>
          <w:rFonts w:ascii="Times New Roman" w:hAnsi="Times New Roman" w:cs="Times New Roman"/>
          <w:color w:val="000000"/>
          <w:sz w:val="24"/>
          <w:szCs w:val="24"/>
        </w:rPr>
        <w:t xml:space="preserve"> Повишена туристическа привлекателност на трансграничната област чрез по-добро използване на природното, културното и историческото наследство и свързаната инфраструктура</w:t>
      </w:r>
      <w:r w:rsidRPr="007F31D8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</w:t>
      </w:r>
    </w:p>
    <w:p w:rsidR="00772585" w:rsidRPr="007F31D8" w:rsidRDefault="00772585" w:rsidP="001F3D24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>Целева група</w:t>
      </w:r>
      <w:r w:rsidR="007F31D8"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Жители на трансграничната област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;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Посетители и гости 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на туристически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атра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кции и трансгранични дестинации;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Хора с увреждания (подобряването на достъпността ще допринесе за тяхното социално включване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);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Туристически организации и асоциации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; </w:t>
      </w:r>
      <w:r w:rsidRPr="007F31D8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на защитени зони</w:t>
      </w:r>
    </w:p>
    <w:p w:rsidR="00772585" w:rsidRPr="007F31D8" w:rsidRDefault="00772585" w:rsidP="001F3D24">
      <w:pPr>
        <w:widowControl w:val="0"/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>Потенциални бенефициенти</w:t>
      </w:r>
      <w:r w:rsidR="007F31D8"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Всички нива на регионални/местни органи на властта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;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Регионални и браншови агенции за развитие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;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Централни и регионални служби и структури на съответните държавни институции / администрации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;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Обществени културни институти (музеи, библиотеки, читалища и др.)</w:t>
      </w:r>
      <w:r w:rsidR="007F31D8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;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Неправителствени организации и туристически асоциации</w:t>
      </w:r>
    </w:p>
    <w:p w:rsidR="00772585" w:rsidRPr="007F31D8" w:rsidRDefault="00772585" w:rsidP="001F3D24">
      <w:pPr>
        <w:widowControl w:val="0"/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>Индикативните дейности, които ще бъдат подкрепяни по специфична цел 1.1 са както следва:</w:t>
      </w:r>
    </w:p>
    <w:p w:rsidR="00772585" w:rsidRPr="007F31D8" w:rsidRDefault="00772585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t xml:space="preserve">Съхраняване на природното и културно наследство (напр. възстановяване и поддържане на обекти с историческо и културно значение; консервация и опазване на материалното и нематериално природно, историческо и културно наследство и др.). </w:t>
      </w:r>
    </w:p>
    <w:p w:rsidR="00772585" w:rsidRPr="007F31D8" w:rsidRDefault="00772585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t xml:space="preserve">Изграждане на </w:t>
      </w:r>
      <w:proofErr w:type="spellStart"/>
      <w:r w:rsidRPr="007F31D8">
        <w:rPr>
          <w:szCs w:val="24"/>
          <w:lang w:val="bg-BG" w:eastAsia="ar-SA"/>
        </w:rPr>
        <w:t>дребномащабна</w:t>
      </w:r>
      <w:proofErr w:type="spellEnd"/>
      <w:r w:rsidRPr="007F31D8">
        <w:rPr>
          <w:szCs w:val="24"/>
          <w:lang w:val="bg-BG" w:eastAsia="ar-SA"/>
        </w:rPr>
        <w:t xml:space="preserve"> спомагателна инфраструктура към туристическите атракции (напр. рехабилитация на пътища за достъп; подобряване на публична инфраструктура (електроснабдяване, водоснабдяване, канализация), свързана с природни, културни и исторически туристически обекти; малки туристически гранично-пропускателни пунктове и свързани съоръжения; изграждане и усъвършенстване на съоръжения, свързани с ИКТ и др.). </w:t>
      </w:r>
    </w:p>
    <w:p w:rsidR="00772585" w:rsidRPr="007F31D8" w:rsidRDefault="00772585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t xml:space="preserve">Изграждане на допълнителна </w:t>
      </w:r>
      <w:proofErr w:type="spellStart"/>
      <w:r w:rsidRPr="007F31D8">
        <w:rPr>
          <w:szCs w:val="24"/>
          <w:lang w:val="bg-BG" w:eastAsia="ar-SA"/>
        </w:rPr>
        <w:t>дребномащабна</w:t>
      </w:r>
      <w:proofErr w:type="spellEnd"/>
      <w:r w:rsidRPr="007F31D8">
        <w:rPr>
          <w:szCs w:val="24"/>
          <w:lang w:val="bg-BG" w:eastAsia="ar-SA"/>
        </w:rPr>
        <w:t xml:space="preserve"> техническа инфраструктура, стимулираща посещенията на туристическите атракции (детски площадки; съоръжения за отдих и спорт; зелени и паркови площи; указателни табели и осветление; други спомагателни съоръжения обслужващи туристическите атракции и посетителите). </w:t>
      </w:r>
    </w:p>
    <w:p w:rsidR="00772585" w:rsidRPr="007F31D8" w:rsidRDefault="00772585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t xml:space="preserve">Разработване на схеми за съвместен транспортен достъп и за приключенски маршрути (напр. трансграничен обществен транспорт до туристически обекти; туристически пътеки и пътеки на здравето, маршрути за катерене, конна езда и колоездене и др.). </w:t>
      </w:r>
    </w:p>
    <w:p w:rsidR="00772585" w:rsidRPr="007F31D8" w:rsidRDefault="00772585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lastRenderedPageBreak/>
        <w:t xml:space="preserve">Подобряване на туристическите атракции за достъп на лица с увреждания (напр. чрез внасяне на изменения в точките за достъп, санитарни помещения, стълбищата, транспортните средства, стръмните и пресечени пътеки и др.). </w:t>
      </w:r>
    </w:p>
    <w:p w:rsidR="00772585" w:rsidRPr="007F31D8" w:rsidRDefault="00772585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t>Изграждане на съоръжения за достъп до информация (напр. информационни центрове и/или павилиони за упътване на потенциалните посетители; съвместни GIS-платформи; съвместни платформи за онлайн резервации, разплащания и др.)</w:t>
      </w:r>
    </w:p>
    <w:p w:rsidR="00772585" w:rsidRPr="007F31D8" w:rsidRDefault="00772585" w:rsidP="001F3D24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Специфична цел 1.2 </w:t>
      </w:r>
      <w:r w:rsidR="007F31D8"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ТРАНСГРАНИЧЕН ТУРИСТИЧЕСКИ </w:t>
      </w:r>
      <w:r w:rsidRPr="007F31D8">
        <w:rPr>
          <w:rFonts w:ascii="Times New Roman" w:hAnsi="Times New Roman" w:cs="Times New Roman"/>
          <w:b/>
          <w:bCs/>
          <w:sz w:val="24"/>
          <w:szCs w:val="24"/>
        </w:rPr>
        <w:t>ПРОДУКТ</w:t>
      </w:r>
      <w:r w:rsidR="007F31D8"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F31D8">
        <w:rPr>
          <w:rFonts w:ascii="Times New Roman" w:hAnsi="Times New Roman" w:cs="Times New Roman"/>
          <w:bCs/>
          <w:sz w:val="24"/>
          <w:szCs w:val="24"/>
        </w:rPr>
        <w:t>Създаване на благоприятни условия за разнообразен туризъм в трансграничния регион чрез изграждане на обща трансгранична туристическа дестинация(и)</w:t>
      </w:r>
    </w:p>
    <w:p w:rsidR="007F31D8" w:rsidRPr="007F31D8" w:rsidRDefault="007F31D8" w:rsidP="001F3D24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Очакван резултат 1.2.1: </w:t>
      </w:r>
      <w:r w:rsidRPr="007F31D8">
        <w:rPr>
          <w:rFonts w:ascii="Times New Roman" w:hAnsi="Times New Roman" w:cs="Times New Roman"/>
          <w:bCs/>
          <w:sz w:val="24"/>
          <w:szCs w:val="24"/>
        </w:rPr>
        <w:t>Укрепнали съвместни и интегрирани подходи за опазване и управление на разнообразието на природните и културни активи в граничната област като основа за развитието на устойчив туризъм и стратегии за растеж</w:t>
      </w:r>
    </w:p>
    <w:p w:rsidR="007F31D8" w:rsidRPr="007F31D8" w:rsidRDefault="007F31D8" w:rsidP="001F3D24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Целева група: </w:t>
      </w:r>
      <w:r w:rsidRPr="007F31D8">
        <w:rPr>
          <w:rFonts w:ascii="Times New Roman" w:hAnsi="Times New Roman" w:cs="Times New Roman"/>
          <w:bCs/>
          <w:sz w:val="24"/>
          <w:szCs w:val="24"/>
        </w:rPr>
        <w:t>Туристически оператори</w:t>
      </w:r>
      <w:r>
        <w:rPr>
          <w:rFonts w:ascii="Times New Roman" w:hAnsi="Times New Roman" w:cs="Times New Roman"/>
          <w:bCs/>
          <w:sz w:val="24"/>
          <w:szCs w:val="24"/>
        </w:rPr>
        <w:t>; т</w:t>
      </w:r>
      <w:r w:rsidRPr="007F31D8">
        <w:rPr>
          <w:rFonts w:ascii="Times New Roman" w:hAnsi="Times New Roman" w:cs="Times New Roman"/>
          <w:bCs/>
          <w:sz w:val="24"/>
          <w:szCs w:val="24"/>
        </w:rPr>
        <w:t xml:space="preserve">уристически асоциации; МСП в допустимата гранична област, които действат в сферата на туризма и сектора на хотелиерството и ресторантьорството; </w:t>
      </w:r>
      <w:r w:rsidR="001F3D24">
        <w:rPr>
          <w:rFonts w:ascii="Times New Roman" w:hAnsi="Times New Roman" w:cs="Times New Roman"/>
          <w:bCs/>
          <w:sz w:val="24"/>
          <w:szCs w:val="24"/>
        </w:rPr>
        <w:t>м</w:t>
      </w:r>
      <w:r w:rsidRPr="007F31D8">
        <w:rPr>
          <w:rFonts w:ascii="Times New Roman" w:hAnsi="Times New Roman" w:cs="Times New Roman"/>
          <w:bCs/>
          <w:sz w:val="24"/>
          <w:szCs w:val="24"/>
        </w:rPr>
        <w:t xml:space="preserve">лади предприемачи; </w:t>
      </w:r>
      <w:r w:rsidR="001F3D24">
        <w:rPr>
          <w:rFonts w:ascii="Times New Roman" w:hAnsi="Times New Roman" w:cs="Times New Roman"/>
          <w:bCs/>
          <w:sz w:val="24"/>
          <w:szCs w:val="24"/>
        </w:rPr>
        <w:t>к</w:t>
      </w:r>
      <w:r w:rsidRPr="007F31D8">
        <w:rPr>
          <w:rFonts w:ascii="Times New Roman" w:hAnsi="Times New Roman" w:cs="Times New Roman"/>
          <w:bCs/>
          <w:sz w:val="24"/>
          <w:szCs w:val="24"/>
        </w:rPr>
        <w:t xml:space="preserve">ултурни институти (музеи, библиотеки, художествени  галерии, читалища и др.); </w:t>
      </w:r>
      <w:r w:rsidR="001F3D24">
        <w:rPr>
          <w:rFonts w:ascii="Times New Roman" w:hAnsi="Times New Roman" w:cs="Times New Roman"/>
          <w:bCs/>
          <w:sz w:val="24"/>
          <w:szCs w:val="24"/>
        </w:rPr>
        <w:t>ж</w:t>
      </w:r>
      <w:r w:rsidRPr="007F31D8">
        <w:rPr>
          <w:rFonts w:ascii="Times New Roman" w:hAnsi="Times New Roman" w:cs="Times New Roman"/>
          <w:bCs/>
          <w:sz w:val="24"/>
          <w:szCs w:val="24"/>
        </w:rPr>
        <w:t>ители на трансграничната област и посетители (туристи)</w:t>
      </w:r>
    </w:p>
    <w:p w:rsidR="007F31D8" w:rsidRPr="007F31D8" w:rsidRDefault="007F31D8" w:rsidP="001F3D2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Потенциални бенефициенти: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Всички нива на регионални/местни органи на властта; </w:t>
      </w:r>
      <w:r w:rsidR="001F3D24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="001F3D24" w:rsidRPr="007F31D8">
        <w:rPr>
          <w:rFonts w:ascii="Times New Roman" w:hAnsi="Times New Roman" w:cs="Times New Roman"/>
          <w:sz w:val="24"/>
          <w:szCs w:val="24"/>
          <w:lang w:eastAsia="ar-SA"/>
        </w:rPr>
        <w:t>егионални туристически асоциации; неправителствени организации; структури за подкрепа на бизнеса – търговски палати, бизнес асоциации, б</w:t>
      </w:r>
      <w:r w:rsidR="006860D3">
        <w:rPr>
          <w:rFonts w:ascii="Times New Roman" w:hAnsi="Times New Roman" w:cs="Times New Roman"/>
          <w:sz w:val="24"/>
          <w:szCs w:val="24"/>
          <w:lang w:eastAsia="ar-SA"/>
        </w:rPr>
        <w:t>изнес клъстери; образователни/</w:t>
      </w:r>
      <w:r w:rsidR="001F3D24"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обучителни центрове; регионални и браншови агенции за развитие; централни и регионални 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 xml:space="preserve">служби и структури на </w:t>
      </w:r>
      <w:r w:rsidR="006860D3">
        <w:rPr>
          <w:rFonts w:ascii="Times New Roman" w:hAnsi="Times New Roman" w:cs="Times New Roman"/>
          <w:sz w:val="24"/>
          <w:szCs w:val="24"/>
          <w:lang w:eastAsia="ar-SA"/>
        </w:rPr>
        <w:t>съответните държавни институции</w:t>
      </w:r>
      <w:r w:rsidRPr="007F31D8">
        <w:rPr>
          <w:rFonts w:ascii="Times New Roman" w:hAnsi="Times New Roman" w:cs="Times New Roman"/>
          <w:sz w:val="24"/>
          <w:szCs w:val="24"/>
          <w:lang w:eastAsia="ar-SA"/>
        </w:rPr>
        <w:t>/ администрации</w:t>
      </w:r>
    </w:p>
    <w:p w:rsidR="007F31D8" w:rsidRPr="007F31D8" w:rsidRDefault="007F31D8" w:rsidP="001F3D24">
      <w:pPr>
        <w:widowControl w:val="0"/>
        <w:spacing w:before="120" w:after="120"/>
        <w:ind w:right="17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31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Индикативните дейности, които ще бъдат подкрепяни по специфична цел 1.2 са както следва: </w:t>
      </w:r>
    </w:p>
    <w:p w:rsidR="007F31D8" w:rsidRPr="007F31D8" w:rsidRDefault="007F31D8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t xml:space="preserve">Разработване на съвместни трансгранични туристически дестинации (напр. подобряване на стратегиите за развитие и плановете за действие, основани на иновативни концепции за услуги и продукти; извършване на съвместни изследвания за търсене на нови туристически дестинации; приемане на съвместни планове за управление на посетителите, гарантирайки опазването на природните и културни ресурси; планове за управление на риска за обекти на културното и природно наследство, подложени на изменението на климата; изготвяне на съвместни </w:t>
      </w:r>
      <w:proofErr w:type="spellStart"/>
      <w:r w:rsidRPr="007F31D8">
        <w:rPr>
          <w:szCs w:val="24"/>
          <w:lang w:val="bg-BG" w:eastAsia="ar-SA"/>
        </w:rPr>
        <w:t>мониторингови</w:t>
      </w:r>
      <w:proofErr w:type="spellEnd"/>
      <w:r w:rsidRPr="007F31D8">
        <w:rPr>
          <w:szCs w:val="24"/>
          <w:lang w:val="bg-BG" w:eastAsia="ar-SA"/>
        </w:rPr>
        <w:t xml:space="preserve"> програми за измерване на тенденции и въздействия, и за улесняване на адаптивното управление на природното, културно и историческо наследство в трансграничния регион и др.). </w:t>
      </w:r>
    </w:p>
    <w:p w:rsidR="007F31D8" w:rsidRPr="007F31D8" w:rsidRDefault="007F31D8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t xml:space="preserve">Разработване на устойчиви трансгранични туристически продукти и услуги (напр. изследователски дейности за идентифициране на туристически продукти с потенциал за трансгранично </w:t>
      </w:r>
      <w:proofErr w:type="spellStart"/>
      <w:r w:rsidRPr="007F31D8">
        <w:rPr>
          <w:szCs w:val="24"/>
          <w:lang w:val="bg-BG" w:eastAsia="ar-SA"/>
        </w:rPr>
        <w:t>брандиране</w:t>
      </w:r>
      <w:proofErr w:type="spellEnd"/>
      <w:r w:rsidRPr="007F31D8">
        <w:rPr>
          <w:szCs w:val="24"/>
          <w:lang w:val="bg-BG" w:eastAsia="ar-SA"/>
        </w:rPr>
        <w:t>; разработване на нови и иновативни туристически продукти и услуги; разработване на местни туристически марки (</w:t>
      </w:r>
      <w:proofErr w:type="spellStart"/>
      <w:r w:rsidRPr="007F31D8">
        <w:rPr>
          <w:szCs w:val="24"/>
          <w:lang w:val="bg-BG" w:eastAsia="ar-SA"/>
        </w:rPr>
        <w:t>брандове</w:t>
      </w:r>
      <w:proofErr w:type="spellEnd"/>
      <w:r w:rsidRPr="007F31D8">
        <w:rPr>
          <w:szCs w:val="24"/>
          <w:lang w:val="bg-BG" w:eastAsia="ar-SA"/>
        </w:rPr>
        <w:t xml:space="preserve">), на основата на природното, историческо и културно наследство на трансграничния регион; изграждане на мрежи/клъстери/предприятия за управление </w:t>
      </w:r>
      <w:r w:rsidRPr="007F31D8">
        <w:rPr>
          <w:szCs w:val="24"/>
          <w:lang w:val="bg-BG" w:eastAsia="ar-SA"/>
        </w:rPr>
        <w:lastRenderedPageBreak/>
        <w:t xml:space="preserve">на съвместни туристически продукти; създаване на мрежи на знанието за прилагане на туристически иновации в трансграничната област и др.). </w:t>
      </w:r>
    </w:p>
    <w:p w:rsidR="007F31D8" w:rsidRDefault="007F31D8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7F31D8">
        <w:rPr>
          <w:szCs w:val="24"/>
          <w:lang w:val="bg-BG" w:eastAsia="ar-SA"/>
        </w:rPr>
        <w:t xml:space="preserve">Съвместни маркетингови кампании за </w:t>
      </w:r>
      <w:proofErr w:type="spellStart"/>
      <w:r w:rsidRPr="007F31D8">
        <w:rPr>
          <w:szCs w:val="24"/>
          <w:lang w:val="bg-BG" w:eastAsia="ar-SA"/>
        </w:rPr>
        <w:t>промотиране</w:t>
      </w:r>
      <w:proofErr w:type="spellEnd"/>
      <w:r w:rsidRPr="007F31D8">
        <w:rPr>
          <w:szCs w:val="24"/>
          <w:lang w:val="bg-BG" w:eastAsia="ar-SA"/>
        </w:rPr>
        <w:t xml:space="preserve"> на трансгранични туристически дестинации и продукти (напр. съвместен анализ на пазарните възприятия с цел да се оцени възприемането от клиентите на трансграничния регион като една устойчива туристическа дестинация; прилагане на добри практики в </w:t>
      </w:r>
      <w:proofErr w:type="spellStart"/>
      <w:r w:rsidRPr="007F31D8">
        <w:rPr>
          <w:szCs w:val="24"/>
          <w:lang w:val="bg-BG" w:eastAsia="ar-SA"/>
        </w:rPr>
        <w:t>промотирането</w:t>
      </w:r>
      <w:proofErr w:type="spellEnd"/>
      <w:r w:rsidRPr="007F31D8">
        <w:rPr>
          <w:szCs w:val="24"/>
          <w:lang w:val="bg-BG" w:eastAsia="ar-SA"/>
        </w:rPr>
        <w:t xml:space="preserve"> на туристическите продукти; подготвяне и разпространение на информация и рекламни материали; проучвания за въздействието от проведените маркетингови и рекламни кампании; организиране на туристически изложения и панаири; визуализация на местни туристически продукти/</w:t>
      </w:r>
      <w:proofErr w:type="spellStart"/>
      <w:r w:rsidRPr="007F31D8">
        <w:rPr>
          <w:szCs w:val="24"/>
          <w:lang w:val="bg-BG" w:eastAsia="ar-SA"/>
        </w:rPr>
        <w:t>брандове</w:t>
      </w:r>
      <w:proofErr w:type="spellEnd"/>
      <w:r w:rsidRPr="007F31D8">
        <w:rPr>
          <w:szCs w:val="24"/>
          <w:lang w:val="bg-BG" w:eastAsia="ar-SA"/>
        </w:rPr>
        <w:t>/дестинации, вкл. 3D визуализация; мобилни приложения, присъствие в социални мрежи, специално разработвани интернет платформи и други иновативни инструменти; създаване на многоезични онлайн туристически платформи и др.).</w:t>
      </w:r>
    </w:p>
    <w:p w:rsidR="007F31D8" w:rsidRDefault="007F31D8" w:rsidP="001F3D24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31D8">
        <w:rPr>
          <w:rFonts w:ascii="Times New Roman" w:hAnsi="Times New Roman" w:cs="Times New Roman"/>
          <w:b/>
          <w:bCs/>
          <w:sz w:val="24"/>
          <w:szCs w:val="24"/>
        </w:rPr>
        <w:t xml:space="preserve">Специфична цел: </w:t>
      </w:r>
      <w:r w:rsidRPr="007F31D8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1.3 </w:t>
      </w:r>
      <w:r w:rsidRPr="007F31D8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bg-BG"/>
        </w:rPr>
        <w:t xml:space="preserve">МЕРКИ ТИП „ХОРА ЗА ХОРА“: </w:t>
      </w:r>
      <w:r w:rsidRPr="007F31D8">
        <w:rPr>
          <w:rFonts w:ascii="Times New Roman" w:hAnsi="Times New Roman" w:cs="Times New Roman"/>
          <w:bCs/>
          <w:sz w:val="24"/>
          <w:szCs w:val="24"/>
        </w:rPr>
        <w:t xml:space="preserve">Капитализиране на ефекта от свързания с културното, историческото и природното наследство туризъм върху местните гранични общности  </w:t>
      </w:r>
    </w:p>
    <w:p w:rsidR="007F31D8" w:rsidRPr="007F31D8" w:rsidRDefault="007F31D8" w:rsidP="001F3D24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3D24">
        <w:rPr>
          <w:rFonts w:ascii="Times New Roman" w:hAnsi="Times New Roman" w:cs="Times New Roman"/>
          <w:b/>
          <w:bCs/>
          <w:sz w:val="24"/>
          <w:szCs w:val="24"/>
        </w:rPr>
        <w:t>Очакван резултат 1.3.1:</w:t>
      </w:r>
      <w:r w:rsidRPr="007F31D8">
        <w:rPr>
          <w:rFonts w:ascii="Times New Roman" w:hAnsi="Times New Roman" w:cs="Times New Roman"/>
          <w:bCs/>
          <w:sz w:val="24"/>
          <w:szCs w:val="24"/>
        </w:rPr>
        <w:t xml:space="preserve"> Повишено участие и информираност на местните общности относно устойчивото използване на трансграничните туристически ресурси</w:t>
      </w:r>
    </w:p>
    <w:p w:rsidR="007F31D8" w:rsidRDefault="007F31D8" w:rsidP="001F3D24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3D24">
        <w:rPr>
          <w:rFonts w:ascii="Times New Roman" w:hAnsi="Times New Roman" w:cs="Times New Roman"/>
          <w:b/>
          <w:bCs/>
          <w:sz w:val="24"/>
          <w:szCs w:val="24"/>
        </w:rPr>
        <w:t>Целева група:</w:t>
      </w:r>
      <w:r w:rsidRPr="007F31D8">
        <w:rPr>
          <w:rFonts w:ascii="Times New Roman" w:hAnsi="Times New Roman" w:cs="Times New Roman"/>
          <w:bCs/>
          <w:sz w:val="24"/>
          <w:szCs w:val="24"/>
        </w:rPr>
        <w:t xml:space="preserve"> Ж</w:t>
      </w:r>
      <w:r>
        <w:rPr>
          <w:rFonts w:ascii="Times New Roman" w:hAnsi="Times New Roman" w:cs="Times New Roman"/>
          <w:bCs/>
          <w:sz w:val="24"/>
          <w:szCs w:val="24"/>
        </w:rPr>
        <w:t>ители на трансграничната област; т</w:t>
      </w:r>
      <w:r w:rsidR="001F3D24">
        <w:rPr>
          <w:rFonts w:ascii="Times New Roman" w:hAnsi="Times New Roman" w:cs="Times New Roman"/>
          <w:bCs/>
          <w:sz w:val="24"/>
          <w:szCs w:val="24"/>
        </w:rPr>
        <w:t>уристически предприятия</w:t>
      </w:r>
      <w:r w:rsidRPr="007F31D8">
        <w:rPr>
          <w:rFonts w:ascii="Times New Roman" w:hAnsi="Times New Roman" w:cs="Times New Roman"/>
          <w:bCs/>
          <w:sz w:val="24"/>
          <w:szCs w:val="24"/>
        </w:rPr>
        <w:t>/ орга</w:t>
      </w:r>
      <w:r>
        <w:rPr>
          <w:rFonts w:ascii="Times New Roman" w:hAnsi="Times New Roman" w:cs="Times New Roman"/>
          <w:bCs/>
          <w:sz w:val="24"/>
          <w:szCs w:val="24"/>
        </w:rPr>
        <w:t>низации в трансграничния регион; т</w:t>
      </w:r>
      <w:r w:rsidRPr="007F31D8">
        <w:rPr>
          <w:rFonts w:ascii="Times New Roman" w:hAnsi="Times New Roman" w:cs="Times New Roman"/>
          <w:bCs/>
          <w:sz w:val="24"/>
          <w:szCs w:val="24"/>
        </w:rPr>
        <w:t>уристически организации и асоциации</w:t>
      </w:r>
      <w:r>
        <w:rPr>
          <w:rFonts w:ascii="Times New Roman" w:hAnsi="Times New Roman" w:cs="Times New Roman"/>
          <w:bCs/>
          <w:sz w:val="24"/>
          <w:szCs w:val="24"/>
        </w:rPr>
        <w:t>; м</w:t>
      </w:r>
      <w:r w:rsidRPr="007F31D8">
        <w:rPr>
          <w:rFonts w:ascii="Times New Roman" w:hAnsi="Times New Roman" w:cs="Times New Roman"/>
          <w:bCs/>
          <w:sz w:val="24"/>
          <w:szCs w:val="24"/>
        </w:rPr>
        <w:t>ладежки организации</w:t>
      </w:r>
    </w:p>
    <w:p w:rsidR="001F3D24" w:rsidRDefault="001F3D24" w:rsidP="001F3D24">
      <w:pPr>
        <w:widowControl w:val="0"/>
        <w:suppressAutoHyphens/>
        <w:autoSpaceDN w:val="0"/>
        <w:spacing w:before="120" w:after="120"/>
        <w:ind w:right="175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F3D24">
        <w:rPr>
          <w:rFonts w:ascii="Times New Roman" w:hAnsi="Times New Roman" w:cs="Times New Roman"/>
          <w:b/>
          <w:bCs/>
          <w:sz w:val="24"/>
          <w:szCs w:val="24"/>
        </w:rPr>
        <w:t>Потенциални бенефициенти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F31D8">
        <w:rPr>
          <w:rFonts w:ascii="Times New Roman" w:hAnsi="Times New Roman" w:cs="Times New Roman"/>
          <w:color w:val="000000"/>
          <w:sz w:val="24"/>
          <w:szCs w:val="24"/>
        </w:rPr>
        <w:t>Всички нива на регионални/местни органи на властта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6860D3" w:rsidRPr="007F31D8">
        <w:rPr>
          <w:rFonts w:ascii="Times New Roman" w:hAnsi="Times New Roman" w:cs="Times New Roman"/>
          <w:color w:val="000000"/>
          <w:sz w:val="24"/>
          <w:szCs w:val="24"/>
        </w:rPr>
        <w:t>регионални туристически асоциации</w:t>
      </w:r>
      <w:r w:rsidR="006860D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6860D3" w:rsidRPr="007F31D8">
        <w:rPr>
          <w:rFonts w:ascii="Times New Roman" w:hAnsi="Times New Roman" w:cs="Times New Roman"/>
          <w:color w:val="000000"/>
          <w:sz w:val="24"/>
          <w:szCs w:val="24"/>
        </w:rPr>
        <w:t>структури на гражданското об</w:t>
      </w:r>
      <w:r w:rsidR="006860D3">
        <w:rPr>
          <w:rFonts w:ascii="Times New Roman" w:hAnsi="Times New Roman" w:cs="Times New Roman"/>
          <w:color w:val="000000"/>
          <w:sz w:val="24"/>
          <w:szCs w:val="24"/>
        </w:rPr>
        <w:t xml:space="preserve">щество (асоциации/фондации/НПО); </w:t>
      </w:r>
      <w:r w:rsidR="006860D3" w:rsidRPr="007F31D8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структури за подкрепа на бизнеса </w:t>
      </w:r>
      <w:r w:rsidR="006860D3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6860D3" w:rsidRPr="007F31D8">
        <w:rPr>
          <w:rFonts w:ascii="Times New Roman" w:hAnsi="Times New Roman" w:cs="Times New Roman"/>
          <w:color w:val="000000"/>
          <w:sz w:val="24"/>
          <w:szCs w:val="24"/>
        </w:rPr>
        <w:t>образователни / обучителни центрове</w:t>
      </w:r>
      <w:r w:rsidR="006860D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6860D3" w:rsidRPr="007F31D8">
        <w:rPr>
          <w:rFonts w:ascii="Times New Roman" w:hAnsi="Times New Roman" w:cs="Times New Roman"/>
          <w:color w:val="000000"/>
          <w:sz w:val="24"/>
          <w:szCs w:val="24"/>
        </w:rPr>
        <w:t>културни институти (музеи, библиотеки, художествени  галерии, читалища и др.)</w:t>
      </w:r>
    </w:p>
    <w:p w:rsidR="001F3D24" w:rsidRPr="001F3D24" w:rsidRDefault="001F3D24" w:rsidP="001F3D24">
      <w:pPr>
        <w:widowControl w:val="0"/>
        <w:spacing w:before="120" w:after="120"/>
        <w:ind w:right="17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3D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Индикативните дейности, които ще бъдат подкрепяни по специфична цел 1.3 са както следва: </w:t>
      </w:r>
    </w:p>
    <w:p w:rsidR="001F3D24" w:rsidRPr="007F31D8" w:rsidRDefault="001F3D24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1F3D24">
        <w:rPr>
          <w:szCs w:val="24"/>
          <w:lang w:val="bg-BG" w:eastAsia="ar-SA"/>
        </w:rPr>
        <w:t xml:space="preserve">Подкрепа за дейности по обществена информираност и информационни услуги (напр. кампании за повишаване на обществената информираност относно ценностите на трансграничното културно, историческо и природно наследство, вкл. съвместни събития между младите хора; разпространение на съответна информация към доставчиците на туристически услуги в трансграничния регион; организиране на туристически форуми за популяризиране на ефективната двустранна комуникация; участие и привличане към сътрудничество на местни туристически предприятия за целите на идентифициране и разрешаване на общи проблеми; организиране на различни събития като конференции, форуми, семинари, платформи и мрежови форуми с цел да се подобри признанието и доверието между съществуващите партньори и да се осигури политическа ангажираност на всички нива и др.). </w:t>
      </w:r>
    </w:p>
    <w:p w:rsidR="001F3D24" w:rsidRPr="001F3D24" w:rsidRDefault="001F3D24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1F3D24">
        <w:rPr>
          <w:szCs w:val="24"/>
          <w:lang w:val="bg-BG" w:eastAsia="ar-SA"/>
        </w:rPr>
        <w:lastRenderedPageBreak/>
        <w:t xml:space="preserve">Дейности по изграждане на капацитет адресирани към местните общности и бизнеси (напр. </w:t>
      </w:r>
      <w:r w:rsidRPr="007F31D8">
        <w:rPr>
          <w:szCs w:val="24"/>
          <w:lang w:val="bg-BG" w:eastAsia="ar-SA"/>
        </w:rPr>
        <w:t xml:space="preserve">обучение и консултантска подкрепа за туристическите предприятия/организации, насочени към подобряване на уменията и дейността им; </w:t>
      </w:r>
      <w:r w:rsidRPr="001F3D24">
        <w:rPr>
          <w:szCs w:val="24"/>
          <w:lang w:val="bg-BG" w:eastAsia="ar-SA"/>
        </w:rPr>
        <w:t xml:space="preserve">организиране на онлайн форуми за обмен на добри практики за устойчиво управление на туризма; подкрепа за сътрудничеството между публични и частни институции в сферите на тяхната компетентност и др.). </w:t>
      </w:r>
    </w:p>
    <w:p w:rsidR="001F3D24" w:rsidRDefault="001F3D24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1F3D24">
        <w:rPr>
          <w:szCs w:val="24"/>
          <w:lang w:val="bg-BG" w:eastAsia="ar-SA"/>
        </w:rPr>
        <w:t xml:space="preserve">Организиране на съвместни събития за </w:t>
      </w:r>
      <w:proofErr w:type="spellStart"/>
      <w:r w:rsidRPr="001F3D24">
        <w:rPr>
          <w:szCs w:val="24"/>
          <w:lang w:val="bg-BG" w:eastAsia="ar-SA"/>
        </w:rPr>
        <w:t>промотиране</w:t>
      </w:r>
      <w:proofErr w:type="spellEnd"/>
      <w:r w:rsidRPr="001F3D24">
        <w:rPr>
          <w:szCs w:val="24"/>
          <w:lang w:val="bg-BG" w:eastAsia="ar-SA"/>
        </w:rPr>
        <w:t xml:space="preserve"> на трансграничното природно и културно наследство (напр. насърчаване и формиране на общи традиции в трансграничния регион; подкрепа на дейности в сферата на </w:t>
      </w:r>
      <w:proofErr w:type="spellStart"/>
      <w:r w:rsidRPr="001F3D24">
        <w:rPr>
          <w:szCs w:val="24"/>
          <w:lang w:val="bg-BG" w:eastAsia="ar-SA"/>
        </w:rPr>
        <w:t>мултикултурализма</w:t>
      </w:r>
      <w:proofErr w:type="spellEnd"/>
      <w:r w:rsidRPr="001F3D24">
        <w:rPr>
          <w:szCs w:val="24"/>
          <w:lang w:val="bg-BG" w:eastAsia="ar-SA"/>
        </w:rPr>
        <w:t>, културния обмен и създаването на полезни контакти и връзки в областта на творческата индустрия с цел повишаване на културното многообразие; организиране на фестивали, изложби, културни инициативи и др.).</w:t>
      </w:r>
    </w:p>
    <w:p w:rsidR="00772585" w:rsidRDefault="00772585" w:rsidP="001F3D24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7F31D8">
        <w:rPr>
          <w:rFonts w:ascii="Times New Roman" w:hAnsi="Times New Roman" w:cs="Times New Roman"/>
          <w:color w:val="002060"/>
          <w:sz w:val="32"/>
        </w:rPr>
        <w:t xml:space="preserve">Приоритетна ос  2 – МЛАДЕЖИ </w:t>
      </w:r>
    </w:p>
    <w:p w:rsidR="001F3D24" w:rsidRPr="001F3D24" w:rsidRDefault="001F3D24" w:rsidP="001F3D24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3D24">
        <w:rPr>
          <w:rFonts w:ascii="Times New Roman" w:hAnsi="Times New Roman" w:cs="Times New Roman"/>
          <w:b/>
          <w:bCs/>
          <w:sz w:val="24"/>
          <w:szCs w:val="24"/>
        </w:rPr>
        <w:t>Специфична цел</w:t>
      </w:r>
      <w:r w:rsidRPr="001F3D24">
        <w:rPr>
          <w:rFonts w:ascii="Times New Roman" w:hAnsi="Times New Roman" w:cs="Times New Roman"/>
          <w:b/>
          <w:bCs/>
          <w:color w:val="FFFFFF"/>
          <w:spacing w:val="20"/>
          <w:sz w:val="24"/>
          <w:szCs w:val="24"/>
        </w:rPr>
        <w:t xml:space="preserve"> </w:t>
      </w:r>
      <w:r w:rsidRPr="001F3D24">
        <w:rPr>
          <w:rFonts w:ascii="Times New Roman" w:hAnsi="Times New Roman" w:cs="Times New Roman"/>
          <w:b/>
          <w:bCs/>
          <w:spacing w:val="20"/>
          <w:sz w:val="24"/>
          <w:szCs w:val="24"/>
          <w:lang w:val="ru-RU"/>
        </w:rPr>
        <w:t xml:space="preserve">2.1 </w:t>
      </w:r>
      <w:r w:rsidRPr="001F3D24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bg-BG"/>
        </w:rPr>
        <w:t>УМЕНИЯ И ПРЕДПРИЕМАЧЕСТВО:</w:t>
      </w:r>
      <w:r w:rsidRPr="001F3D24">
        <w:rPr>
          <w:rFonts w:ascii="Times New Roman" w:hAnsi="Times New Roman" w:cs="Times New Roman"/>
          <w:bCs/>
          <w:sz w:val="24"/>
          <w:szCs w:val="24"/>
        </w:rPr>
        <w:t>Създаване на привлекателна среда за развитие на младите хора в трансграничния регион</w:t>
      </w:r>
    </w:p>
    <w:p w:rsidR="001F3D24" w:rsidRPr="001F3D24" w:rsidRDefault="001F3D24" w:rsidP="001F3D24">
      <w:pPr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3D24">
        <w:rPr>
          <w:rFonts w:ascii="Times New Roman" w:hAnsi="Times New Roman" w:cs="Times New Roman"/>
          <w:b/>
          <w:bCs/>
          <w:sz w:val="24"/>
          <w:szCs w:val="24"/>
        </w:rPr>
        <w:t>Очакван резултат</w:t>
      </w:r>
      <w:r w:rsidRPr="001F3D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3D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2.1.1 </w:t>
      </w:r>
      <w:r w:rsidRPr="001F3D24">
        <w:rPr>
          <w:rFonts w:ascii="Times New Roman" w:hAnsi="Times New Roman" w:cs="Times New Roman"/>
          <w:color w:val="000000"/>
          <w:sz w:val="24"/>
          <w:szCs w:val="24"/>
        </w:rPr>
        <w:t>Подобрена среда за развитие на младежта</w:t>
      </w:r>
    </w:p>
    <w:p w:rsidR="001F3D24" w:rsidRPr="001F3D24" w:rsidRDefault="001F3D24" w:rsidP="001F3D24">
      <w:pPr>
        <w:widowControl w:val="0"/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F3D24">
        <w:rPr>
          <w:rFonts w:ascii="Times New Roman" w:hAnsi="Times New Roman" w:cs="Times New Roman"/>
          <w:b/>
          <w:bCs/>
          <w:sz w:val="24"/>
          <w:szCs w:val="24"/>
        </w:rPr>
        <w:t>Целева група :</w:t>
      </w:r>
      <w:r w:rsidRPr="001F3D24">
        <w:rPr>
          <w:rFonts w:ascii="Times New Roman" w:hAnsi="Times New Roman" w:cs="Times New Roman"/>
          <w:color w:val="000000"/>
          <w:sz w:val="24"/>
          <w:szCs w:val="24"/>
        </w:rPr>
        <w:t xml:space="preserve"> Ученици в началните и средни училища; млади хора (до 29-годишна възраст); младежки организации; </w:t>
      </w:r>
      <w:proofErr w:type="spellStart"/>
      <w:r w:rsidRPr="001F3D24">
        <w:rPr>
          <w:rFonts w:ascii="Times New Roman" w:hAnsi="Times New Roman" w:cs="Times New Roman"/>
          <w:color w:val="000000"/>
          <w:sz w:val="24"/>
          <w:szCs w:val="24"/>
        </w:rPr>
        <w:t>маргинализирани</w:t>
      </w:r>
      <w:proofErr w:type="spellEnd"/>
      <w:r w:rsidRPr="001F3D24">
        <w:rPr>
          <w:rFonts w:ascii="Times New Roman" w:hAnsi="Times New Roman" w:cs="Times New Roman"/>
          <w:color w:val="000000"/>
          <w:sz w:val="24"/>
          <w:szCs w:val="24"/>
        </w:rPr>
        <w:t xml:space="preserve"> малцинствени общности; деца и младежи със специални нужди; агенции по заетост</w:t>
      </w:r>
      <w:r w:rsidRPr="001F3D24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</w:t>
      </w:r>
    </w:p>
    <w:p w:rsidR="001F3D24" w:rsidRPr="001F3D24" w:rsidRDefault="001F3D24" w:rsidP="001F3D24">
      <w:pPr>
        <w:widowControl w:val="0"/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F3D24">
        <w:rPr>
          <w:rFonts w:ascii="Times New Roman" w:hAnsi="Times New Roman" w:cs="Times New Roman"/>
          <w:b/>
          <w:bCs/>
          <w:sz w:val="24"/>
          <w:szCs w:val="24"/>
        </w:rPr>
        <w:t>Потенциални бенефициенти</w:t>
      </w:r>
      <w:r w:rsidRPr="001F3D24">
        <w:rPr>
          <w:rFonts w:ascii="Times New Roman" w:hAnsi="Times New Roman" w:cs="Times New Roman"/>
          <w:color w:val="000000"/>
          <w:sz w:val="24"/>
          <w:szCs w:val="24"/>
        </w:rPr>
        <w:t>: Всички нива на регионални/местни органи на властта; образователни институции и доставчици на обучителни услуги; институции за професионално обучение; университети, институти на знанието / научно-изследователски институти; структури на гражданското общество (асоциации/фондации/</w:t>
      </w:r>
      <w:r w:rsidR="006860D3">
        <w:rPr>
          <w:rFonts w:ascii="Times New Roman" w:hAnsi="Times New Roman" w:cs="Times New Roman"/>
          <w:color w:val="000000"/>
          <w:sz w:val="24"/>
          <w:szCs w:val="24"/>
        </w:rPr>
        <w:t>НПО</w:t>
      </w:r>
      <w:r w:rsidRPr="001F3D24">
        <w:rPr>
          <w:rFonts w:ascii="Times New Roman" w:hAnsi="Times New Roman" w:cs="Times New Roman"/>
          <w:color w:val="000000"/>
          <w:sz w:val="24"/>
          <w:szCs w:val="24"/>
        </w:rPr>
        <w:t>);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труктури за подкрепа на бизнеса; </w:t>
      </w:r>
      <w:r w:rsidRPr="001F3D24">
        <w:rPr>
          <w:rFonts w:ascii="Times New Roman" w:hAnsi="Times New Roman" w:cs="Times New Roman"/>
          <w:color w:val="000000"/>
          <w:sz w:val="24"/>
          <w:szCs w:val="24"/>
        </w:rPr>
        <w:t>културни институти, местни обществени центрове/читалища</w:t>
      </w:r>
    </w:p>
    <w:p w:rsidR="001F3D24" w:rsidRPr="006860D3" w:rsidRDefault="001F3D24" w:rsidP="001F3D24">
      <w:pPr>
        <w:widowControl w:val="0"/>
        <w:spacing w:before="120"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60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Индикативните дейности, които ще бъдат подкрепяни по специфична цел 2.1 са както следва: </w:t>
      </w:r>
    </w:p>
    <w:p w:rsidR="001F3D24" w:rsidRPr="001F3D24" w:rsidRDefault="001F3D24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1F3D24">
        <w:rPr>
          <w:szCs w:val="24"/>
          <w:lang w:val="bg-BG" w:eastAsia="ar-SA"/>
        </w:rPr>
        <w:t xml:space="preserve">Изграждане на </w:t>
      </w:r>
      <w:proofErr w:type="spellStart"/>
      <w:r w:rsidRPr="001F3D24">
        <w:rPr>
          <w:szCs w:val="24"/>
          <w:lang w:val="bg-BG" w:eastAsia="ar-SA"/>
        </w:rPr>
        <w:t>дребномащабна</w:t>
      </w:r>
      <w:proofErr w:type="spellEnd"/>
      <w:r w:rsidRPr="001F3D24">
        <w:rPr>
          <w:szCs w:val="24"/>
          <w:lang w:val="bg-BG" w:eastAsia="ar-SA"/>
        </w:rPr>
        <w:t xml:space="preserve"> инфраструктура свързана с младежки дейности, както и съоръжения за обучение и информация (напр. строителство/реконструкция/рехабилитация/модернизация на младежка, образователна и развлекателна инфраструктура и съоръжения – като например: зали за обучение, библиотеки, лаборатории, спортни съоръжения, учебни лагери; инвестиции за осигуряване на физическа достъпност до младежка, образователна и развлекателна инфраструктура и съоръжения; инвестиции в подобряването и осъвременяването на ИКТ-съоръжения и др.). </w:t>
      </w:r>
    </w:p>
    <w:p w:rsidR="001F3D24" w:rsidRPr="001F3D24" w:rsidRDefault="001F3D24" w:rsidP="001F3D24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1F3D24">
        <w:rPr>
          <w:szCs w:val="24"/>
          <w:lang w:val="bg-BG" w:eastAsia="ar-SA"/>
        </w:rPr>
        <w:t xml:space="preserve">Създаване на </w:t>
      </w:r>
      <w:proofErr w:type="spellStart"/>
      <w:r w:rsidRPr="001F3D24">
        <w:rPr>
          <w:szCs w:val="24"/>
          <w:lang w:val="bg-BG" w:eastAsia="ar-SA"/>
        </w:rPr>
        <w:t>дребномащабна</w:t>
      </w:r>
      <w:proofErr w:type="spellEnd"/>
      <w:r w:rsidRPr="001F3D24">
        <w:rPr>
          <w:szCs w:val="24"/>
          <w:lang w:val="bg-BG" w:eastAsia="ar-SA"/>
        </w:rPr>
        <w:t xml:space="preserve"> „предприемаческа” инфраструктура (напр. бизнес инкубатори, споделени работни места, т.нар „фабрики“ и „гаражи” за стартиращи предприятия, предоставяне/споделяне на необходимото оборудване и др.). </w:t>
      </w:r>
    </w:p>
    <w:p w:rsidR="006860D3" w:rsidRPr="006860D3" w:rsidRDefault="001F3D24" w:rsidP="006860D3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1F3D24">
        <w:rPr>
          <w:szCs w:val="24"/>
          <w:lang w:val="bg-BG" w:eastAsia="ar-SA"/>
        </w:rPr>
        <w:t xml:space="preserve">Подкрепа за схеми и инициативи на младежкото предприемачество (напр. инициативи за насърчаване на обучението като инструмент за подпомагане на </w:t>
      </w:r>
      <w:r w:rsidRPr="001F3D24">
        <w:rPr>
          <w:szCs w:val="24"/>
          <w:lang w:val="bg-BG" w:eastAsia="ar-SA"/>
        </w:rPr>
        <w:lastRenderedPageBreak/>
        <w:t xml:space="preserve">младежката иновативност, креативност и предприемачество; организиране на събития и бизнес дейности за студентски мини-компании, училищни предприемачи; </w:t>
      </w:r>
      <w:proofErr w:type="spellStart"/>
      <w:r w:rsidRPr="001F3D24">
        <w:rPr>
          <w:szCs w:val="24"/>
          <w:lang w:val="bg-BG" w:eastAsia="ar-SA"/>
        </w:rPr>
        <w:t>симулационни</w:t>
      </w:r>
      <w:proofErr w:type="spellEnd"/>
      <w:r w:rsidRPr="001F3D24">
        <w:rPr>
          <w:szCs w:val="24"/>
          <w:lang w:val="bg-BG" w:eastAsia="ar-SA"/>
        </w:rPr>
        <w:t xml:space="preserve"> игри </w:t>
      </w:r>
      <w:r>
        <w:rPr>
          <w:szCs w:val="24"/>
          <w:lang w:val="bg-BG" w:eastAsia="ar-SA"/>
        </w:rPr>
        <w:t>(</w:t>
      </w:r>
      <w:r w:rsidRPr="001F3D24">
        <w:rPr>
          <w:szCs w:val="24"/>
          <w:lang w:val="bg-BG" w:eastAsia="ar-SA"/>
        </w:rPr>
        <w:t xml:space="preserve">напр. </w:t>
      </w:r>
      <w:r>
        <w:rPr>
          <w:szCs w:val="24"/>
          <w:lang w:val="bg-BG" w:eastAsia="ar-SA"/>
        </w:rPr>
        <w:t>компютърни)</w:t>
      </w:r>
      <w:r w:rsidRPr="001F3D24">
        <w:rPr>
          <w:szCs w:val="24"/>
          <w:lang w:val="bg-BG" w:eastAsia="ar-SA"/>
        </w:rPr>
        <w:t xml:space="preserve">; обучения за придобиване на бизнес умения, услуги по насочване и бизнес ориентиране </w:t>
      </w:r>
      <w:r>
        <w:rPr>
          <w:szCs w:val="24"/>
          <w:lang w:val="bg-BG" w:eastAsia="ar-SA"/>
        </w:rPr>
        <w:t>(</w:t>
      </w:r>
      <w:r w:rsidRPr="001F3D24">
        <w:rPr>
          <w:szCs w:val="24"/>
          <w:lang w:val="bg-BG" w:eastAsia="ar-SA"/>
        </w:rPr>
        <w:t>услуги от „едно гише“ и интегрирани центрове за млади предприемачи, онлайн обучение и семинари, менторска подкрепа и бизнес наставничество, онлайн портали и уебсайтове и др.</w:t>
      </w:r>
      <w:r>
        <w:rPr>
          <w:szCs w:val="24"/>
          <w:lang w:val="bg-BG" w:eastAsia="ar-SA"/>
        </w:rPr>
        <w:t>)</w:t>
      </w:r>
      <w:r w:rsidRPr="001F3D24">
        <w:rPr>
          <w:szCs w:val="24"/>
          <w:lang w:val="bg-BG" w:eastAsia="ar-SA"/>
        </w:rPr>
        <w:t>, подкрепа за съвместни пазарни инициативи и изграждане на партньорски мрежи, вкл. промоции и маркетингови кампании за млади предприемачи и</w:t>
      </w:r>
      <w:r w:rsidRPr="001F3D24">
        <w:rPr>
          <w:rFonts w:eastAsia="Calibri"/>
          <w:bCs/>
          <w:color w:val="000000"/>
          <w:szCs w:val="24"/>
          <w:lang w:val="bg-BG" w:eastAsia="bg-BG"/>
        </w:rPr>
        <w:t xml:space="preserve"> др.).</w:t>
      </w:r>
    </w:p>
    <w:p w:rsidR="006860D3" w:rsidRPr="006860D3" w:rsidRDefault="006860D3" w:rsidP="006860D3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>Специфична цел</w:t>
      </w:r>
      <w:r w:rsidRPr="006860D3">
        <w:rPr>
          <w:rFonts w:ascii="Times New Roman" w:hAnsi="Times New Roman" w:cs="Times New Roman"/>
          <w:b/>
          <w:bCs/>
          <w:color w:val="FFFFFF"/>
          <w:spacing w:val="20"/>
          <w:sz w:val="24"/>
          <w:szCs w:val="24"/>
        </w:rPr>
        <w:t xml:space="preserve"> </w:t>
      </w:r>
      <w:r w:rsidRPr="006860D3">
        <w:rPr>
          <w:rFonts w:ascii="Times New Roman" w:hAnsi="Times New Roman" w:cs="Times New Roman"/>
          <w:b/>
          <w:bCs/>
          <w:spacing w:val="20"/>
          <w:sz w:val="24"/>
          <w:szCs w:val="24"/>
          <w:lang w:val="ru-RU"/>
        </w:rPr>
        <w:t xml:space="preserve">2.2 </w:t>
      </w:r>
      <w:r w:rsidRPr="006860D3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bg-BG"/>
        </w:rPr>
        <w:t xml:space="preserve">МЕРКИ ТИП „ХОРА ЗА ХОРА“: </w:t>
      </w:r>
      <w:r w:rsidRPr="006860D3">
        <w:rPr>
          <w:rFonts w:ascii="Times New Roman" w:hAnsi="Times New Roman" w:cs="Times New Roman"/>
          <w:bCs/>
          <w:sz w:val="24"/>
          <w:szCs w:val="24"/>
        </w:rPr>
        <w:t>Насърчаване на устойчиви, дългосрочни и съвместни младежки инициативи, включително и насърчаване на мобилността на младите хора</w:t>
      </w:r>
    </w:p>
    <w:p w:rsidR="006860D3" w:rsidRPr="006860D3" w:rsidRDefault="006860D3" w:rsidP="006860D3">
      <w:pPr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>Очакван резултат</w:t>
      </w:r>
      <w:r w:rsidRPr="00686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60D3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2.2.1: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Укрепени и разширени младежки мрежи трансграничния регион</w:t>
      </w:r>
    </w:p>
    <w:p w:rsidR="006860D3" w:rsidRPr="006860D3" w:rsidRDefault="006860D3" w:rsidP="006860D3">
      <w:pPr>
        <w:widowControl w:val="0"/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>Целева група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 xml:space="preserve">: Ученици в началните и средни училища; млади хора (до 29-годишна възраст); </w:t>
      </w:r>
      <w:proofErr w:type="spellStart"/>
      <w:r w:rsidRPr="006860D3">
        <w:rPr>
          <w:rFonts w:ascii="Times New Roman" w:hAnsi="Times New Roman" w:cs="Times New Roman"/>
          <w:color w:val="000000"/>
          <w:sz w:val="24"/>
          <w:szCs w:val="24"/>
        </w:rPr>
        <w:t>маргинализирани</w:t>
      </w:r>
      <w:proofErr w:type="spellEnd"/>
      <w:r w:rsidRPr="006860D3">
        <w:rPr>
          <w:rFonts w:ascii="Times New Roman" w:hAnsi="Times New Roman" w:cs="Times New Roman"/>
          <w:color w:val="000000"/>
          <w:sz w:val="24"/>
          <w:szCs w:val="24"/>
        </w:rPr>
        <w:t xml:space="preserve"> общности; деца и младежи със специални нужди</w:t>
      </w:r>
      <w:r w:rsidRPr="006860D3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</w:t>
      </w:r>
    </w:p>
    <w:p w:rsidR="006860D3" w:rsidRPr="006860D3" w:rsidRDefault="006860D3" w:rsidP="006860D3">
      <w:pPr>
        <w:widowControl w:val="0"/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 xml:space="preserve">Потенциални бенефициенти: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Всички нива на регионални/местни органи на властта; младежки организация / НПО; местни и национални образователни институции и доставчици на обучителни услуги; университети, институти на знанието / научно-изследователски институти; структури на гражданското общество (асоциации/фондации); структури за подкрепа на бизнеса; културни институти, местни обществени центрове/читалища</w:t>
      </w:r>
    </w:p>
    <w:p w:rsidR="006860D3" w:rsidRPr="006860D3" w:rsidRDefault="006860D3" w:rsidP="006860D3">
      <w:pPr>
        <w:widowControl w:val="0"/>
        <w:spacing w:before="120"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60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Индикативните дейности, които ще бъдат подкрепяни по специфична цел 2.2 са както следва: </w:t>
      </w:r>
    </w:p>
    <w:p w:rsidR="006860D3" w:rsidRPr="006860D3" w:rsidRDefault="006860D3" w:rsidP="006860D3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6860D3">
        <w:rPr>
          <w:szCs w:val="24"/>
          <w:lang w:val="bg-BG" w:eastAsia="ar-SA"/>
        </w:rPr>
        <w:t>Подкрепа за мрежови инициативи на младите хора (напр. насърчаване участието на младите хора в демократичния процес и гражданското общество; трансгранични инициативи, насочени към справяне с младежката бедност и социалното изключване; обществени инициативи за подпомагане и популяризиране ценността на младежките доброволчески инициативи; подпомагане капацитета на младите хора и креативността им, както и достъпа им до култура; трансгранични инициативи за насърчаване здравословния и качествен начин на живот на младите хора и др.;</w:t>
      </w:r>
    </w:p>
    <w:p w:rsidR="006860D3" w:rsidRPr="006860D3" w:rsidRDefault="006860D3" w:rsidP="006860D3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6860D3">
        <w:rPr>
          <w:rFonts w:ascii="Times New Roman" w:hAnsi="Times New Roman" w:cs="Times New Roman"/>
          <w:color w:val="002060"/>
          <w:sz w:val="32"/>
        </w:rPr>
        <w:t xml:space="preserve">Приоритетна ос  3 – ОКОЛНА СРЕДА </w:t>
      </w:r>
    </w:p>
    <w:p w:rsidR="006860D3" w:rsidRDefault="006860D3" w:rsidP="006860D3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>Специфична цел</w:t>
      </w:r>
      <w:r w:rsidRPr="006860D3">
        <w:rPr>
          <w:rFonts w:ascii="Times New Roman" w:hAnsi="Times New Roman" w:cs="Times New Roman"/>
          <w:b/>
          <w:bCs/>
          <w:color w:val="FFFFFF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0"/>
          <w:sz w:val="24"/>
          <w:szCs w:val="24"/>
          <w:lang w:val="ru-RU"/>
        </w:rPr>
        <w:t xml:space="preserve">3.1 </w:t>
      </w:r>
      <w:r w:rsidRPr="006860D3"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bg-BG"/>
        </w:rPr>
        <w:t>СЪВМЕСТНО УПРАВЛЕНИЕ НА РИСКА</w:t>
      </w:r>
      <w:r>
        <w:rPr>
          <w:rFonts w:ascii="Times New Roman" w:eastAsia="Calibri" w:hAnsi="Times New Roman" w:cs="Times New Roman"/>
          <w:b/>
          <w:bCs/>
          <w:spacing w:val="20"/>
          <w:sz w:val="24"/>
          <w:szCs w:val="24"/>
          <w:lang w:eastAsia="bg-BG"/>
        </w:rPr>
        <w:t xml:space="preserve">: </w:t>
      </w:r>
      <w:r w:rsidRPr="006860D3">
        <w:rPr>
          <w:rFonts w:ascii="Times New Roman" w:hAnsi="Times New Roman" w:cs="Times New Roman"/>
          <w:bCs/>
          <w:sz w:val="24"/>
          <w:szCs w:val="24"/>
        </w:rPr>
        <w:t>Предотвратяване и смекчаване на последствията от природни и предизвикани от човека бедствия</w:t>
      </w:r>
      <w:r w:rsidRPr="006860D3">
        <w:rPr>
          <w:rFonts w:ascii="Times New Roman" w:hAnsi="Times New Roman" w:cs="Times New Roman"/>
          <w:bCs/>
          <w:color w:val="FFFFFF"/>
          <w:sz w:val="24"/>
          <w:szCs w:val="24"/>
        </w:rPr>
        <w:t xml:space="preserve"> </w:t>
      </w:r>
      <w:r w:rsidRPr="006860D3">
        <w:rPr>
          <w:rFonts w:ascii="Times New Roman" w:hAnsi="Times New Roman" w:cs="Times New Roman"/>
          <w:bCs/>
          <w:sz w:val="24"/>
          <w:szCs w:val="24"/>
        </w:rPr>
        <w:t>в трансграничния регион</w:t>
      </w:r>
    </w:p>
    <w:p w:rsidR="006860D3" w:rsidRPr="006860D3" w:rsidRDefault="006860D3" w:rsidP="006860D3">
      <w:pPr>
        <w:spacing w:before="120" w:after="120"/>
        <w:jc w:val="both"/>
        <w:rPr>
          <w:szCs w:val="24"/>
          <w:lang w:eastAsia="ar-SA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>Очакван резултат</w:t>
      </w:r>
      <w:r w:rsidRPr="006860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3.1.1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: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Подобрена подготвеност на държавните органи, гражданските организации и целевите доброволци за по-добро управление на природни и предизвикани от човека опасности и бедствия</w:t>
      </w:r>
    </w:p>
    <w:p w:rsidR="006860D3" w:rsidRDefault="006860D3" w:rsidP="006860D3">
      <w:pPr>
        <w:widowControl w:val="0"/>
        <w:tabs>
          <w:tab w:val="left" w:pos="9356"/>
        </w:tabs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>Целева група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 xml:space="preserve">Засегнато население в региона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трансгранично сътрудничество;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 xml:space="preserve">всички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нива на регионални/местни органи на властта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администрации на защитени зони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млади хора (до 29-годишна възраст)</w:t>
      </w:r>
      <w:r w:rsidRPr="006860D3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</w:t>
      </w:r>
    </w:p>
    <w:p w:rsidR="006860D3" w:rsidRDefault="006860D3" w:rsidP="006860D3">
      <w:pPr>
        <w:widowControl w:val="0"/>
        <w:tabs>
          <w:tab w:val="left" w:pos="9356"/>
        </w:tabs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>Потенциални бенефициенти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Съответни местни и регионални структури с отговорности за действия в извънредни и аварийни ситуации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 ц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ентрални и регионални служби и структури на съ</w:t>
      </w:r>
      <w:r>
        <w:rPr>
          <w:rFonts w:ascii="Times New Roman" w:hAnsi="Times New Roman" w:cs="Times New Roman"/>
          <w:color w:val="000000"/>
          <w:sz w:val="24"/>
          <w:szCs w:val="24"/>
        </w:rPr>
        <w:t>ответните държавни институции/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 р</w:t>
      </w:r>
      <w:r w:rsidRPr="006860D3">
        <w:rPr>
          <w:rFonts w:ascii="Times New Roman" w:hAnsi="Times New Roman" w:cs="Times New Roman"/>
          <w:color w:val="000000"/>
          <w:sz w:val="24"/>
          <w:szCs w:val="24"/>
        </w:rPr>
        <w:t>егионални и браншови агенции за развитие</w:t>
      </w:r>
    </w:p>
    <w:p w:rsidR="006860D3" w:rsidRPr="006860D3" w:rsidRDefault="006860D3" w:rsidP="006860D3">
      <w:pPr>
        <w:widowControl w:val="0"/>
        <w:spacing w:before="120" w:after="120"/>
        <w:ind w:right="176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bg-BG"/>
        </w:rPr>
      </w:pPr>
      <w:r w:rsidRPr="006860D3">
        <w:rPr>
          <w:rFonts w:ascii="Times New Roman" w:hAnsi="Times New Roman" w:cs="Times New Roman"/>
          <w:b/>
          <w:bCs/>
          <w:sz w:val="24"/>
          <w:szCs w:val="24"/>
        </w:rPr>
        <w:t xml:space="preserve">Индикативните дейности, които ще бъдат подкрепяни по специфична цел 3.1 са както следва: </w:t>
      </w:r>
    </w:p>
    <w:p w:rsidR="006860D3" w:rsidRPr="006860D3" w:rsidRDefault="006860D3" w:rsidP="006860D3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6860D3">
        <w:rPr>
          <w:szCs w:val="24"/>
          <w:lang w:val="bg-BG" w:eastAsia="ar-SA"/>
        </w:rPr>
        <w:t xml:space="preserve">Създаване на съвместни системи за ранно предупреждение и управление на бедствия (напр. проучвания на реално прилагани процедури, политики и мерки за защита, превенция и прогнози при бедствия; създаване на база данни за пространствени данни за оценка на риска от бедствия, съдържаща наземни, метеорологични и социологически показатели; изготвяне на съвместни планове и процедури за справяне с извънредни ситуации и мобилизиране на човешки ресурси за реакция при инциденти и извънредни ситуации; разработване на съвместни протоколи и комуникационни канали за превенция на риска и управлението на природните и предизвикани от човешка дейност бедствия и др.); </w:t>
      </w:r>
    </w:p>
    <w:p w:rsidR="006860D3" w:rsidRPr="006860D3" w:rsidRDefault="006860D3" w:rsidP="006860D3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6860D3">
        <w:rPr>
          <w:szCs w:val="24"/>
          <w:lang w:val="bg-BG" w:eastAsia="ar-SA"/>
        </w:rPr>
        <w:t xml:space="preserve">Инвестиции в оборудване, свързано с устойчивостта на бедствия (напр. съвременни ИКТ решения в случаи на опасност от пожари, или дейности след потушаване на пожари; доставка на специализирано противопожарно оборудване; доставка на специализирано оборудване за справяне с наводненията, както и за интервенции по търсене и спасяване на хора; доставка на системи за въздушно наблюдение на земната повърхност и предаване на данни в реално време и др.); </w:t>
      </w:r>
    </w:p>
    <w:p w:rsidR="006860D3" w:rsidRDefault="006860D3" w:rsidP="006860D3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6860D3">
        <w:rPr>
          <w:szCs w:val="24"/>
          <w:lang w:val="bg-BG" w:eastAsia="ar-SA"/>
        </w:rPr>
        <w:t xml:space="preserve">Подкрепа за </w:t>
      </w:r>
      <w:proofErr w:type="spellStart"/>
      <w:r w:rsidRPr="006860D3">
        <w:rPr>
          <w:szCs w:val="24"/>
          <w:lang w:val="bg-BG" w:eastAsia="ar-SA"/>
        </w:rPr>
        <w:t>дребномащабни</w:t>
      </w:r>
      <w:proofErr w:type="spellEnd"/>
      <w:r w:rsidRPr="006860D3">
        <w:rPr>
          <w:szCs w:val="24"/>
          <w:lang w:val="bg-BG" w:eastAsia="ar-SA"/>
        </w:rPr>
        <w:t xml:space="preserve"> интервенции/инвестиции (напр. почистване и презалесяване на речните брегове, изграждане на защитни съоръжения срещу наводнения като диги и канали; залесяване на краткотрайно уязвими терени; изсичане на гори поради спешна необходимост при аварийни ситуации и др.);</w:t>
      </w:r>
    </w:p>
    <w:p w:rsidR="00FA0137" w:rsidRPr="00FA0137" w:rsidRDefault="00FA0137" w:rsidP="00FA0137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6860D3">
        <w:rPr>
          <w:szCs w:val="24"/>
          <w:lang w:val="bg-BG" w:eastAsia="ar-SA"/>
        </w:rPr>
        <w:t>Изграждане на капацитет, свързан с устойчивостта на бедствия (напр. провеждане на съвместни теоретични-тактически упражнения и полеви обучения за управление на извънредни ситуации; обучения в използването на ИКТ технологии за управление на риска; обмен на опит и добри практики (учебни посещения, кръгли маси, конференции); съвместни обучения и повишаване на информираността на доставчиците на обществени услуги и на населението (доброволци) за устойчивостта на бедствия и др</w:t>
      </w:r>
      <w:r>
        <w:rPr>
          <w:szCs w:val="24"/>
          <w:lang w:val="bg-BG" w:eastAsia="ar-SA"/>
        </w:rPr>
        <w:t>.</w:t>
      </w:r>
    </w:p>
    <w:p w:rsidR="00FA0137" w:rsidRDefault="00FA0137" w:rsidP="00FA0137">
      <w:pPr>
        <w:widowControl w:val="0"/>
        <w:spacing w:before="120" w:after="120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FA0137">
        <w:rPr>
          <w:rFonts w:ascii="Times New Roman" w:hAnsi="Times New Roman" w:cs="Times New Roman"/>
          <w:b/>
          <w:bCs/>
          <w:sz w:val="24"/>
        </w:rPr>
        <w:t>Специфична цел</w:t>
      </w:r>
      <w:r w:rsidRPr="00FA0137">
        <w:t xml:space="preserve"> </w:t>
      </w:r>
      <w:r w:rsidRPr="00FA0137">
        <w:rPr>
          <w:rFonts w:ascii="Times New Roman" w:hAnsi="Times New Roman" w:cs="Times New Roman"/>
          <w:b/>
          <w:bCs/>
          <w:sz w:val="24"/>
        </w:rPr>
        <w:t>3.2 ОПАЗВАНЕ НА ОКОЛНАТА СРЕДА: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FA0137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Повишаване на капацитета на регионалните и местни заинтересовани лица за по-добро управление на околната среда и природните ресурси в трансграничния регион</w:t>
      </w:r>
      <w:r w:rsidRPr="00FA0137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</w:t>
      </w:r>
    </w:p>
    <w:p w:rsidR="00FA0137" w:rsidRDefault="00FA0137" w:rsidP="00FA0137">
      <w:pPr>
        <w:widowControl w:val="0"/>
        <w:spacing w:before="120" w:after="12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FA0137">
        <w:rPr>
          <w:rFonts w:ascii="Times New Roman" w:hAnsi="Times New Roman" w:cs="Times New Roman"/>
          <w:b/>
          <w:bCs/>
          <w:sz w:val="24"/>
          <w:szCs w:val="24"/>
        </w:rPr>
        <w:t>Очакван резултат</w:t>
      </w:r>
      <w:r w:rsidRPr="00FA0137">
        <w:t xml:space="preserve"> </w:t>
      </w:r>
      <w:r w:rsidRPr="00FA0137">
        <w:rPr>
          <w:rFonts w:ascii="Times New Roman" w:hAnsi="Times New Roman" w:cs="Times New Roman"/>
          <w:b/>
          <w:bCs/>
          <w:sz w:val="24"/>
          <w:szCs w:val="24"/>
        </w:rPr>
        <w:t xml:space="preserve">3.2.1 </w:t>
      </w:r>
      <w:r w:rsidRPr="00FA0137">
        <w:rPr>
          <w:rFonts w:ascii="Times New Roman" w:hAnsi="Times New Roman" w:cs="Times New Roman"/>
          <w:bCs/>
          <w:sz w:val="24"/>
          <w:szCs w:val="24"/>
        </w:rPr>
        <w:t>Подобрен капацитет за опазване на природата и устойчиво използване на общите природни ресурси в трансграничния регион</w:t>
      </w:r>
      <w:r w:rsidRPr="00FA0137">
        <w:rPr>
          <w:rFonts w:ascii="Times New Roman" w:hAnsi="Times New Roman" w:cs="Times New Roman"/>
          <w:b/>
          <w:bCs/>
          <w:color w:val="FFFFFF"/>
          <w:sz w:val="24"/>
          <w:szCs w:val="24"/>
        </w:rPr>
        <w:t xml:space="preserve"> </w:t>
      </w:r>
    </w:p>
    <w:p w:rsidR="00FA0137" w:rsidRPr="00FA0137" w:rsidRDefault="00FA0137" w:rsidP="00FA0137">
      <w:pPr>
        <w:widowControl w:val="0"/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0137">
        <w:rPr>
          <w:rFonts w:ascii="Times New Roman" w:hAnsi="Times New Roman" w:cs="Times New Roman"/>
          <w:b/>
          <w:bCs/>
          <w:sz w:val="24"/>
          <w:szCs w:val="24"/>
        </w:rPr>
        <w:t>Целева група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FA0137">
        <w:rPr>
          <w:rFonts w:ascii="Times New Roman" w:hAnsi="Times New Roman" w:cs="Times New Roman"/>
          <w:bCs/>
          <w:sz w:val="24"/>
          <w:szCs w:val="24"/>
        </w:rPr>
        <w:t xml:space="preserve">труктури на гражданското общество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FA0137">
        <w:rPr>
          <w:rFonts w:ascii="Times New Roman" w:hAnsi="Times New Roman" w:cs="Times New Roman"/>
          <w:bCs/>
          <w:sz w:val="24"/>
          <w:szCs w:val="24"/>
        </w:rPr>
        <w:t xml:space="preserve">икономически оператори в региона на трансгранично сътрудничество; 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FA0137">
        <w:rPr>
          <w:rFonts w:ascii="Times New Roman" w:hAnsi="Times New Roman" w:cs="Times New Roman"/>
          <w:bCs/>
          <w:sz w:val="24"/>
          <w:szCs w:val="24"/>
        </w:rPr>
        <w:t>аселение на трансграничн</w:t>
      </w:r>
      <w:r>
        <w:rPr>
          <w:rFonts w:ascii="Times New Roman" w:hAnsi="Times New Roman" w:cs="Times New Roman"/>
          <w:bCs/>
          <w:sz w:val="24"/>
          <w:szCs w:val="24"/>
        </w:rPr>
        <w:t>ия регион</w:t>
      </w:r>
      <w:r w:rsidRPr="00FA0137">
        <w:rPr>
          <w:rFonts w:ascii="Times New Roman" w:hAnsi="Times New Roman" w:cs="Times New Roman"/>
          <w:bCs/>
          <w:sz w:val="24"/>
          <w:szCs w:val="24"/>
        </w:rPr>
        <w:t>;</w:t>
      </w:r>
    </w:p>
    <w:p w:rsidR="00FA0137" w:rsidRPr="00FA0137" w:rsidRDefault="00FA0137" w:rsidP="00FA0137">
      <w:pPr>
        <w:widowControl w:val="0"/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A01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Потенциални бенефициенти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FA0137">
        <w:rPr>
          <w:rFonts w:ascii="Times New Roman" w:hAnsi="Times New Roman" w:cs="Times New Roman"/>
          <w:bCs/>
          <w:sz w:val="24"/>
          <w:szCs w:val="24"/>
        </w:rPr>
        <w:t xml:space="preserve">Централни и регионални служби и структури на съответните държавни институции / администрации в сферата на тяхната компетентност; </w:t>
      </w:r>
      <w:r w:rsidRPr="00FA0137">
        <w:rPr>
          <w:rFonts w:ascii="Times New Roman" w:hAnsi="Times New Roman" w:cs="Times New Roman"/>
          <w:color w:val="000000"/>
          <w:sz w:val="24"/>
          <w:szCs w:val="24"/>
        </w:rPr>
        <w:t>регионални и браншови агенции за развитие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FA0137">
        <w:rPr>
          <w:rFonts w:ascii="Times New Roman" w:hAnsi="Times New Roman" w:cs="Times New Roman"/>
          <w:color w:val="000000"/>
          <w:sz w:val="24"/>
          <w:szCs w:val="24"/>
        </w:rPr>
        <w:t>администрации на защитени зони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FA0137">
        <w:rPr>
          <w:rFonts w:ascii="Times New Roman" w:hAnsi="Times New Roman" w:cs="Times New Roman"/>
          <w:color w:val="000000"/>
          <w:sz w:val="24"/>
          <w:szCs w:val="24"/>
        </w:rPr>
        <w:t>всички нива на регионални/местни органи на властта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FA0137">
        <w:rPr>
          <w:rFonts w:ascii="Times New Roman" w:hAnsi="Times New Roman" w:cs="Times New Roman"/>
          <w:color w:val="000000"/>
          <w:sz w:val="24"/>
          <w:szCs w:val="24"/>
        </w:rPr>
        <w:t xml:space="preserve"> научно-изследователски и академични институти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FA0137">
        <w:rPr>
          <w:rFonts w:ascii="Times New Roman" w:hAnsi="Times New Roman" w:cs="Times New Roman"/>
          <w:color w:val="000000"/>
          <w:sz w:val="24"/>
          <w:szCs w:val="24"/>
        </w:rPr>
        <w:t xml:space="preserve"> екологични </w:t>
      </w:r>
      <w:r>
        <w:rPr>
          <w:rFonts w:ascii="Times New Roman" w:hAnsi="Times New Roman" w:cs="Times New Roman"/>
          <w:color w:val="000000"/>
          <w:sz w:val="24"/>
          <w:szCs w:val="24"/>
        </w:rPr>
        <w:t>НПО.</w:t>
      </w:r>
    </w:p>
    <w:p w:rsidR="00FA0137" w:rsidRPr="00FA0137" w:rsidRDefault="00FA0137" w:rsidP="00FA0137">
      <w:pPr>
        <w:widowControl w:val="0"/>
        <w:suppressAutoHyphens/>
        <w:autoSpaceDN w:val="0"/>
        <w:spacing w:before="120" w:after="120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01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Индикативните дейности, които ще бъдат подкрепяни по специфична цел 3.2 са както следва: </w:t>
      </w:r>
    </w:p>
    <w:p w:rsidR="00FA0137" w:rsidRPr="00FA0137" w:rsidRDefault="00FA0137" w:rsidP="00FA0137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FA0137">
        <w:rPr>
          <w:szCs w:val="24"/>
          <w:lang w:val="bg-BG" w:eastAsia="ar-SA"/>
        </w:rPr>
        <w:t xml:space="preserve">Опазване и подобряване на биологичното разнообразие, опазване на природата и зелената инфраструктура (напр. съвместни инициативи, насочени към ефективно управление на ресурсите на околната среда; съвместни инициативи по отношение на опазването и възстановяването на екосистемите и на застрашените и защитени растителни и животински видове; опазване и подобряване на качеството на природните ресурси (въздух, почви, води); въвеждане на </w:t>
      </w:r>
      <w:proofErr w:type="spellStart"/>
      <w:r w:rsidRPr="00FA0137">
        <w:rPr>
          <w:szCs w:val="24"/>
          <w:lang w:val="bg-BG" w:eastAsia="ar-SA"/>
        </w:rPr>
        <w:t>нисковъглеродни</w:t>
      </w:r>
      <w:proofErr w:type="spellEnd"/>
      <w:r w:rsidRPr="00FA0137">
        <w:rPr>
          <w:szCs w:val="24"/>
          <w:lang w:val="bg-BG" w:eastAsia="ar-SA"/>
        </w:rPr>
        <w:t xml:space="preserve"> практики, споделени за целите на приспособяване към изменението на климата и смекчаване на последствията от изменението на климата и др. </w:t>
      </w:r>
    </w:p>
    <w:p w:rsidR="00FA0137" w:rsidRPr="00FA0137" w:rsidRDefault="00FA0137" w:rsidP="00FA0137">
      <w:pPr>
        <w:pStyle w:val="ListParagraph"/>
        <w:widowControl w:val="0"/>
        <w:numPr>
          <w:ilvl w:val="0"/>
          <w:numId w:val="1"/>
        </w:numPr>
        <w:spacing w:before="120" w:after="120" w:line="276" w:lineRule="auto"/>
        <w:rPr>
          <w:szCs w:val="24"/>
          <w:lang w:val="bg-BG" w:eastAsia="ar-SA"/>
        </w:rPr>
      </w:pPr>
      <w:r w:rsidRPr="00FA0137">
        <w:rPr>
          <w:szCs w:val="24"/>
          <w:lang w:val="bg-BG" w:eastAsia="ar-SA"/>
        </w:rPr>
        <w:t xml:space="preserve">Изграждане на капацитет и насърчаване на инициативи (напр. предоставяне на обучение на местните и регионалните власти за решаване на въпроси свързани с околната среда, такива като например управление на отпадъците или защитените територии; създаване на бюра за помощ с мобилни експертни групи, които помагат на регионите и градовете за разрешаване на проблеми свързани с околната среда; създаване на мрежи за обмен на добри практики; повишаване на информираността на всички нива (физически лица, организации, бизнеси, публична администрация, училища) по въпроси, свързани с опазването на околната среда и на природата, включително </w:t>
      </w:r>
      <w:proofErr w:type="spellStart"/>
      <w:r w:rsidRPr="00FA0137">
        <w:rPr>
          <w:szCs w:val="24"/>
          <w:lang w:val="bg-BG" w:eastAsia="ar-SA"/>
        </w:rPr>
        <w:t>маргинализираните</w:t>
      </w:r>
      <w:proofErr w:type="spellEnd"/>
      <w:r w:rsidRPr="00FA0137">
        <w:rPr>
          <w:szCs w:val="24"/>
          <w:lang w:val="bg-BG" w:eastAsia="ar-SA"/>
        </w:rPr>
        <w:t xml:space="preserve"> общности и други уязвими групи).</w:t>
      </w:r>
    </w:p>
    <w:p w:rsidR="00D25AE0" w:rsidRDefault="00D25AE0" w:rsidP="00D25AE0">
      <w:pPr>
        <w:spacing w:before="480" w:after="120"/>
        <w:ind w:right="318"/>
        <w:jc w:val="both"/>
        <w:rPr>
          <w:rFonts w:ascii="Times New Roman" w:hAnsi="Times New Roman" w:cs="Times New Roman"/>
          <w:color w:val="002060"/>
          <w:sz w:val="32"/>
        </w:rPr>
      </w:pPr>
      <w:r w:rsidRPr="00D25AE0">
        <w:rPr>
          <w:rFonts w:ascii="Times New Roman" w:hAnsi="Times New Roman" w:cs="Times New Roman"/>
          <w:color w:val="002060"/>
          <w:sz w:val="32"/>
        </w:rPr>
        <w:t>Управляващи структури</w:t>
      </w:r>
    </w:p>
    <w:p w:rsidR="0045419D" w:rsidRDefault="00D25AE0" w:rsidP="00D25AE0">
      <w:pPr>
        <w:spacing w:before="120" w:after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D25AE0">
        <w:rPr>
          <w:rFonts w:ascii="Times New Roman" w:hAnsi="Times New Roman" w:cs="Times New Roman"/>
          <w:b/>
          <w:bCs/>
          <w:sz w:val="24"/>
          <w:szCs w:val="24"/>
        </w:rPr>
        <w:t>Управляващ орган</w:t>
      </w:r>
    </w:p>
    <w:p w:rsidR="00D25AE0" w:rsidRPr="00D25AE0" w:rsidRDefault="00D25AE0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5AE0">
        <w:rPr>
          <w:rFonts w:ascii="Times New Roman" w:hAnsi="Times New Roman" w:cs="Times New Roman"/>
          <w:color w:val="000000"/>
          <w:sz w:val="24"/>
          <w:szCs w:val="24"/>
        </w:rPr>
        <w:t>Главна дирекция „Управление на териториалното сътрудничество”, Министерство на регионалното развитие на Република България</w:t>
      </w:r>
    </w:p>
    <w:p w:rsidR="0045419D" w:rsidRDefault="00AF2406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Национален орган</w:t>
      </w:r>
    </w:p>
    <w:p w:rsidR="00D25AE0" w:rsidRPr="00D25AE0" w:rsidRDefault="00D25AE0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Отдел "Програми за трансгранично и транснационално сътрудничество", </w:t>
      </w:r>
      <w:r w:rsidR="00A5003D">
        <w:rPr>
          <w:rFonts w:ascii="Times New Roman" w:hAnsi="Times New Roman" w:cs="Times New Roman"/>
          <w:color w:val="000000"/>
          <w:sz w:val="24"/>
          <w:szCs w:val="24"/>
        </w:rPr>
        <w:t xml:space="preserve">Служба </w:t>
      </w:r>
      <w:r w:rsidR="00A5003D"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за европейска интеграция </w:t>
      </w:r>
      <w:r w:rsidR="00A5003D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Република Сърбия </w:t>
      </w:r>
    </w:p>
    <w:p w:rsidR="0045419D" w:rsidRDefault="00AF2406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Сертифициращ орган</w:t>
      </w:r>
    </w:p>
    <w:p w:rsidR="00D25AE0" w:rsidRPr="00D25AE0" w:rsidRDefault="00D25AE0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5AE0">
        <w:rPr>
          <w:rFonts w:ascii="Times New Roman" w:hAnsi="Times New Roman" w:cs="Times New Roman"/>
          <w:color w:val="000000"/>
          <w:sz w:val="24"/>
          <w:szCs w:val="24"/>
        </w:rPr>
        <w:t>Дирекция „Национален фонд” в Министерството на финансите на Република България</w:t>
      </w:r>
    </w:p>
    <w:p w:rsidR="00D25AE0" w:rsidRPr="0045419D" w:rsidRDefault="00D25AE0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419D">
        <w:rPr>
          <w:rFonts w:ascii="Times New Roman" w:hAnsi="Times New Roman" w:cs="Times New Roman"/>
          <w:b/>
          <w:bCs/>
          <w:sz w:val="24"/>
          <w:szCs w:val="24"/>
        </w:rPr>
        <w:t>Органи</w:t>
      </w:r>
      <w:r w:rsidR="008359E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359EF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45419D">
        <w:rPr>
          <w:rFonts w:ascii="Times New Roman" w:hAnsi="Times New Roman" w:cs="Times New Roman"/>
          <w:b/>
          <w:bCs/>
          <w:sz w:val="24"/>
          <w:szCs w:val="24"/>
        </w:rPr>
        <w:t xml:space="preserve"> контрол</w:t>
      </w:r>
    </w:p>
    <w:p w:rsidR="00D25AE0" w:rsidRPr="00D25AE0" w:rsidRDefault="00D25AE0" w:rsidP="00D25AE0">
      <w:pPr>
        <w:widowControl w:val="0"/>
        <w:spacing w:before="120" w:after="120"/>
        <w:ind w:right="1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5AE0">
        <w:rPr>
          <w:rFonts w:ascii="Times New Roman" w:hAnsi="Times New Roman" w:cs="Times New Roman"/>
          <w:color w:val="000000"/>
          <w:sz w:val="24"/>
          <w:szCs w:val="24"/>
        </w:rPr>
        <w:t>За Република България: Министерство на регионалното развитие на Република България</w:t>
      </w:r>
    </w:p>
    <w:p w:rsidR="00D25AE0" w:rsidRDefault="00D25AE0" w:rsidP="00D25AE0">
      <w:pPr>
        <w:spacing w:before="120" w:after="120"/>
        <w:jc w:val="both"/>
        <w:rPr>
          <w:rFonts w:ascii="Times New Roman" w:hAnsi="Times New Roman" w:cs="Times New Roman"/>
          <w:b/>
          <w:bCs/>
          <w:color w:val="000000" w:themeColor="text1"/>
          <w:spacing w:val="20"/>
          <w:sz w:val="24"/>
          <w:szCs w:val="24"/>
        </w:rPr>
      </w:pPr>
      <w:r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За Република Сърбия: Министерство на финансите на Република Сърбия, Отдел за договаряне и финансиране на програми финансирани от ЕС, Направление за </w:t>
      </w:r>
      <w:r w:rsidRPr="00D25AE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първостепенен контрол на проекти, финансирани по компонент ИПП за трансгранично и транснационално сътрудничество</w:t>
      </w:r>
    </w:p>
    <w:p w:rsidR="008359EF" w:rsidRDefault="00AF2406" w:rsidP="008359EF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Одитен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орган</w:t>
      </w:r>
    </w:p>
    <w:p w:rsidR="008359EF" w:rsidRDefault="008359EF" w:rsidP="008359EF">
      <w:pPr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5AE0">
        <w:rPr>
          <w:rFonts w:ascii="Times New Roman" w:hAnsi="Times New Roman" w:cs="Times New Roman"/>
          <w:color w:val="000000"/>
          <w:sz w:val="24"/>
          <w:szCs w:val="24"/>
        </w:rPr>
        <w:t>Изпълнителна агенция „Одит на средствата от Европейския съюз” към министъра на финансите на Република България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 определена за </w:t>
      </w:r>
      <w:proofErr w:type="spellStart"/>
      <w:r w:rsidRPr="008359EF">
        <w:rPr>
          <w:rFonts w:ascii="Times New Roman" w:hAnsi="Times New Roman" w:cs="Times New Roman"/>
          <w:i/>
          <w:color w:val="000000"/>
          <w:sz w:val="24"/>
          <w:szCs w:val="24"/>
        </w:rPr>
        <w:t>Одитен</w:t>
      </w:r>
      <w:proofErr w:type="spellEnd"/>
      <w:r w:rsidRPr="008359E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програмата.</w:t>
      </w:r>
    </w:p>
    <w:p w:rsidR="008359EF" w:rsidRDefault="008359EF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5AE0" w:rsidRDefault="008359EF" w:rsidP="008359EF">
      <w:pPr>
        <w:widowControl w:val="0"/>
        <w:spacing w:before="120" w:after="120"/>
        <w:ind w:right="176"/>
        <w:jc w:val="both"/>
        <w:rPr>
          <w:rFonts w:ascii="Times New Roman" w:hAnsi="Times New Roman" w:cs="Times New Roman"/>
          <w:b/>
          <w:bCs/>
          <w:color w:val="000000" w:themeColor="text1"/>
          <w:spacing w:val="20"/>
          <w:sz w:val="24"/>
          <w:szCs w:val="24"/>
        </w:rPr>
      </w:pPr>
      <w:r w:rsidRPr="008359E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Група на </w:t>
      </w:r>
      <w:proofErr w:type="spellStart"/>
      <w:r w:rsidRPr="008359EF">
        <w:rPr>
          <w:rFonts w:ascii="Times New Roman" w:hAnsi="Times New Roman" w:cs="Times New Roman"/>
          <w:i/>
          <w:color w:val="000000"/>
          <w:sz w:val="24"/>
          <w:szCs w:val="24"/>
        </w:rPr>
        <w:t>одиторите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 представители от</w:t>
      </w:r>
      <w:r w:rsidRPr="008359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Изпълнителна агенция „Одит на средствата от Европейския съюз” към министъра на финансите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а Република България </w:t>
      </w:r>
      <w:r>
        <w:rPr>
          <w:rFonts w:ascii="Times New Roman" w:hAnsi="Times New Roman" w:cs="Times New Roman"/>
          <w:color w:val="000000"/>
          <w:sz w:val="24"/>
          <w:szCs w:val="24"/>
        </w:rPr>
        <w:t>и п</w:t>
      </w:r>
      <w:r w:rsidR="00D25AE0" w:rsidRPr="00D25AE0">
        <w:rPr>
          <w:rFonts w:ascii="Times New Roman" w:hAnsi="Times New Roman" w:cs="Times New Roman"/>
          <w:color w:val="000000"/>
          <w:sz w:val="24"/>
          <w:szCs w:val="24"/>
        </w:rPr>
        <w:t>равителств</w:t>
      </w:r>
      <w:r>
        <w:rPr>
          <w:rFonts w:ascii="Times New Roman" w:hAnsi="Times New Roman" w:cs="Times New Roman"/>
          <w:color w:val="000000"/>
          <w:sz w:val="24"/>
          <w:szCs w:val="24"/>
        </w:rPr>
        <w:t>ената Служба</w:t>
      </w:r>
      <w:r w:rsidR="00D25AE0"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 за одит на средствата по фондове на ЕС</w:t>
      </w:r>
      <w:r w:rsidRPr="008359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5AE0">
        <w:rPr>
          <w:rFonts w:ascii="Times New Roman" w:hAnsi="Times New Roman" w:cs="Times New Roman"/>
          <w:color w:val="000000"/>
          <w:sz w:val="24"/>
          <w:szCs w:val="24"/>
        </w:rPr>
        <w:t>на Република Сърбия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5419D" w:rsidRDefault="00AF2406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Съвместен комитет за наблюдение</w:t>
      </w:r>
    </w:p>
    <w:p w:rsidR="00D25AE0" w:rsidRPr="0045419D" w:rsidRDefault="00D25AE0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Състои се от представители на Управляващия орган, Националния орган, </w:t>
      </w:r>
      <w:r w:rsidR="00815E02">
        <w:rPr>
          <w:rFonts w:ascii="Times New Roman" w:hAnsi="Times New Roman" w:cs="Times New Roman"/>
          <w:color w:val="000000"/>
          <w:sz w:val="24"/>
          <w:szCs w:val="24"/>
        </w:rPr>
        <w:t>Европейската к</w:t>
      </w:r>
      <w:r w:rsidRPr="00D25AE0">
        <w:rPr>
          <w:rFonts w:ascii="Times New Roman" w:hAnsi="Times New Roman" w:cs="Times New Roman"/>
          <w:color w:val="000000"/>
          <w:sz w:val="24"/>
          <w:szCs w:val="24"/>
        </w:rPr>
        <w:t>омисия и Националния координатор по ИПП, както и на други съответни национални институции и заинтересовани страни, включително на граждански организации и представители на неправителствени организации. При определяне на състава на Съвместния комитет за наблюдение ще бъдат спазвани  принципите на партньорство и многостепенно управление.</w:t>
      </w:r>
    </w:p>
    <w:p w:rsidR="0045419D" w:rsidRDefault="00AF2406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Съвместен секретариат</w:t>
      </w:r>
    </w:p>
    <w:p w:rsidR="00D25AE0" w:rsidRPr="00D25AE0" w:rsidRDefault="00AF2406" w:rsidP="00D25AE0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Главният о</w:t>
      </w:r>
      <w:r w:rsidR="00D25AE0" w:rsidRPr="00D25AE0">
        <w:rPr>
          <w:rFonts w:ascii="Times New Roman" w:hAnsi="Times New Roman" w:cs="Times New Roman"/>
          <w:color w:val="000000"/>
          <w:sz w:val="24"/>
          <w:szCs w:val="24"/>
        </w:rPr>
        <w:t>фис на Съвместния секретариат ще бъде в гр. София (България) със свой клон в гр. Ниш (Сърбия).  Съвместния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D25AE0"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 секретариат оказва оперативна помощ на Управляващия орган, Националния орган и Съвместния комитет за наблюдение по Програмата и подпомага, когато е необходимо, Сертифициращия орган и </w:t>
      </w:r>
      <w:proofErr w:type="spellStart"/>
      <w:r w:rsidR="00D25AE0" w:rsidRPr="00D25AE0">
        <w:rPr>
          <w:rFonts w:ascii="Times New Roman" w:hAnsi="Times New Roman" w:cs="Times New Roman"/>
          <w:color w:val="000000"/>
          <w:sz w:val="24"/>
          <w:szCs w:val="24"/>
        </w:rPr>
        <w:t>Одитния</w:t>
      </w:r>
      <w:proofErr w:type="spellEnd"/>
      <w:r w:rsidR="00D25AE0"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 орган при изпълнението на техните съответни задължения. Съвместния</w:t>
      </w:r>
      <w:r w:rsidR="00815E02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D25AE0"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 секретариат </w:t>
      </w:r>
      <w:r w:rsidR="00815E02">
        <w:rPr>
          <w:rFonts w:ascii="Times New Roman" w:hAnsi="Times New Roman" w:cs="Times New Roman"/>
          <w:color w:val="000000"/>
          <w:sz w:val="24"/>
          <w:szCs w:val="24"/>
        </w:rPr>
        <w:t xml:space="preserve">също така </w:t>
      </w:r>
      <w:r w:rsidR="00D25AE0" w:rsidRPr="00D25AE0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предоставя информация и оказва подкрепа на бенефициентите на Програмата.</w:t>
      </w:r>
    </w:p>
    <w:p w:rsidR="00D25AE0" w:rsidRPr="006E5EA3" w:rsidRDefault="00D25AE0" w:rsidP="00D25AE0">
      <w:pPr>
        <w:spacing w:after="0"/>
        <w:rPr>
          <w:color w:val="002060"/>
          <w:lang w:val="ru-RU"/>
        </w:rPr>
      </w:pPr>
    </w:p>
    <w:p w:rsidR="006860D3" w:rsidRPr="00D25AE0" w:rsidRDefault="006860D3" w:rsidP="006860D3">
      <w:pPr>
        <w:widowControl w:val="0"/>
        <w:tabs>
          <w:tab w:val="left" w:pos="9356"/>
        </w:tabs>
        <w:suppressAutoHyphens/>
        <w:autoSpaceDN w:val="0"/>
        <w:spacing w:before="120" w:after="120"/>
        <w:jc w:val="both"/>
        <w:textAlignment w:val="baseline"/>
        <w:rPr>
          <w:szCs w:val="24"/>
          <w:lang w:val="ru-RU" w:eastAsia="ar-SA"/>
        </w:rPr>
      </w:pPr>
    </w:p>
    <w:p w:rsidR="00772585" w:rsidRPr="007F31D8" w:rsidRDefault="00772585" w:rsidP="001F3D24">
      <w:pPr>
        <w:widowControl w:val="0"/>
        <w:suppressAutoHyphens/>
        <w:autoSpaceDN w:val="0"/>
        <w:spacing w:after="0"/>
        <w:ind w:right="175"/>
        <w:textAlignment w:val="baseline"/>
        <w:rPr>
          <w:rFonts w:ascii="Times New Roman" w:hAnsi="Times New Roman" w:cs="Times New Roman"/>
          <w:color w:val="000000"/>
        </w:rPr>
      </w:pPr>
    </w:p>
    <w:sectPr w:rsidR="00772585" w:rsidRPr="007F31D8" w:rsidSect="007F31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81C" w:rsidRDefault="00F2081C" w:rsidP="00F2081C">
      <w:pPr>
        <w:spacing w:after="0" w:line="240" w:lineRule="auto"/>
      </w:pPr>
      <w:r>
        <w:separator/>
      </w:r>
    </w:p>
  </w:endnote>
  <w:endnote w:type="continuationSeparator" w:id="0">
    <w:p w:rsidR="00F2081C" w:rsidRDefault="00F2081C" w:rsidP="00F20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Roman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20" w:rsidRDefault="00D31A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3701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1A20" w:rsidRDefault="00D31A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678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31A20" w:rsidRDefault="00D31A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20" w:rsidRDefault="00D31A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81C" w:rsidRDefault="00F2081C" w:rsidP="00F2081C">
      <w:pPr>
        <w:spacing w:after="0" w:line="240" w:lineRule="auto"/>
      </w:pPr>
      <w:r>
        <w:separator/>
      </w:r>
    </w:p>
  </w:footnote>
  <w:footnote w:type="continuationSeparator" w:id="0">
    <w:p w:rsidR="00F2081C" w:rsidRDefault="00F2081C" w:rsidP="00F2081C">
      <w:pPr>
        <w:spacing w:after="0" w:line="240" w:lineRule="auto"/>
      </w:pPr>
      <w:r>
        <w:continuationSeparator/>
      </w:r>
    </w:p>
  </w:footnote>
  <w:footnote w:id="1">
    <w:p w:rsidR="00F2081C" w:rsidRPr="00E24F76" w:rsidRDefault="00F2081C" w:rsidP="00F2081C">
      <w:pPr>
        <w:pStyle w:val="FootnoteText"/>
        <w:jc w:val="both"/>
        <w:rPr>
          <w:i/>
          <w:sz w:val="20"/>
          <w:lang w:val="bg-BG"/>
        </w:rPr>
      </w:pPr>
      <w:r w:rsidRPr="00DB2C60">
        <w:rPr>
          <w:rStyle w:val="FootnoteReference"/>
          <w:i/>
          <w:sz w:val="20"/>
        </w:rPr>
        <w:footnoteRef/>
      </w:r>
      <w:r w:rsidRPr="00D2764B">
        <w:rPr>
          <w:i/>
          <w:sz w:val="20"/>
          <w:lang w:val="ru-RU"/>
        </w:rPr>
        <w:t xml:space="preserve"> </w:t>
      </w:r>
      <w:r w:rsidRPr="00BD5718">
        <w:rPr>
          <w:i/>
          <w:sz w:val="20"/>
          <w:lang w:val="bg-BG"/>
        </w:rPr>
        <w:t>Тематични приоритети в областта на помощта за териториално сътрудничество</w:t>
      </w:r>
      <w:r>
        <w:rPr>
          <w:i/>
          <w:sz w:val="20"/>
          <w:lang w:val="bg-BG"/>
        </w:rPr>
        <w:t>, в съответствие с</w:t>
      </w:r>
      <w:r w:rsidRPr="00D2764B">
        <w:rPr>
          <w:i/>
          <w:sz w:val="20"/>
          <w:lang w:val="ru-RU"/>
        </w:rPr>
        <w:t xml:space="preserve">  </w:t>
      </w:r>
      <w:r>
        <w:rPr>
          <w:i/>
          <w:sz w:val="20"/>
          <w:lang w:val="bg-BG"/>
        </w:rPr>
        <w:t>Регламент №</w:t>
      </w:r>
      <w:r w:rsidRPr="00D2764B">
        <w:rPr>
          <w:i/>
          <w:sz w:val="20"/>
          <w:lang w:val="ru-RU"/>
        </w:rPr>
        <w:t xml:space="preserve"> 213/2014 </w:t>
      </w:r>
      <w:r>
        <w:rPr>
          <w:i/>
          <w:sz w:val="20"/>
          <w:lang w:val="bg-BG"/>
        </w:rPr>
        <w:t xml:space="preserve">РЕГЛАМЕНТ </w:t>
      </w:r>
      <w:r w:rsidRPr="00D2764B">
        <w:rPr>
          <w:i/>
          <w:sz w:val="20"/>
          <w:lang w:val="ru-RU"/>
        </w:rPr>
        <w:t>(</w:t>
      </w:r>
      <w:r>
        <w:rPr>
          <w:i/>
          <w:sz w:val="20"/>
          <w:lang w:val="bg-BG"/>
        </w:rPr>
        <w:t>ЕС</w:t>
      </w:r>
      <w:r w:rsidRPr="00D2764B">
        <w:rPr>
          <w:i/>
          <w:sz w:val="20"/>
          <w:lang w:val="ru-RU"/>
        </w:rPr>
        <w:t xml:space="preserve">) </w:t>
      </w:r>
      <w:r>
        <w:rPr>
          <w:i/>
          <w:sz w:val="20"/>
          <w:lang w:val="bg-BG"/>
        </w:rPr>
        <w:t xml:space="preserve">№ </w:t>
      </w:r>
      <w:r w:rsidRPr="00D2764B">
        <w:rPr>
          <w:i/>
          <w:sz w:val="20"/>
          <w:lang w:val="ru-RU"/>
        </w:rPr>
        <w:t xml:space="preserve">231/2014 </w:t>
      </w:r>
      <w:r w:rsidRPr="00E24F76">
        <w:rPr>
          <w:i/>
          <w:sz w:val="20"/>
          <w:lang w:val="bg-BG"/>
        </w:rPr>
        <w:t>НА ЕВРОПЕЙСКИЯ ПАРЛАМЕНТ И НА СЪВЕТА</w:t>
      </w:r>
      <w:r w:rsidRPr="00D2764B">
        <w:rPr>
          <w:color w:val="000000"/>
          <w:lang w:val="ru-RU"/>
        </w:rPr>
        <w:t xml:space="preserve"> </w:t>
      </w:r>
      <w:r w:rsidRPr="00E24F76">
        <w:rPr>
          <w:i/>
          <w:sz w:val="20"/>
          <w:lang w:val="bg-BG"/>
        </w:rPr>
        <w:t xml:space="preserve">от 11 март 2014 г. за създаване на Инструмент за предприсъединителна помощ (ИПП II), </w:t>
      </w:r>
      <w:r>
        <w:rPr>
          <w:i/>
          <w:sz w:val="20"/>
          <w:lang w:val="bg-BG"/>
        </w:rPr>
        <w:t>ПРИЛОЖЕНИЕ III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20" w:rsidRDefault="00D31A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20" w:rsidRDefault="00D31A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A20" w:rsidRDefault="00D31A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54B"/>
    <w:multiLevelType w:val="multilevel"/>
    <w:tmpl w:val="21BEDBC2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B94677F"/>
    <w:multiLevelType w:val="multilevel"/>
    <w:tmpl w:val="89EEF9D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C623A18"/>
    <w:multiLevelType w:val="hybridMultilevel"/>
    <w:tmpl w:val="C018F26E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71722"/>
    <w:multiLevelType w:val="multilevel"/>
    <w:tmpl w:val="6F2EC024"/>
    <w:lvl w:ilvl="0">
      <w:start w:val="1"/>
      <w:numFmt w:val="decimal"/>
      <w:lvlText w:val="%1."/>
      <w:lvlJc w:val="left"/>
      <w:pPr>
        <w:ind w:left="536" w:hanging="360"/>
      </w:pPr>
    </w:lvl>
    <w:lvl w:ilvl="1">
      <w:start w:val="1"/>
      <w:numFmt w:val="lowerLetter"/>
      <w:lvlText w:val="%2."/>
      <w:lvlJc w:val="left"/>
      <w:pPr>
        <w:ind w:left="1256" w:hanging="360"/>
      </w:p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73F97A26"/>
    <w:multiLevelType w:val="multilevel"/>
    <w:tmpl w:val="B7C82580"/>
    <w:lvl w:ilvl="0">
      <w:numFmt w:val="bullet"/>
      <w:lvlText w:val=""/>
      <w:lvlJc w:val="left"/>
      <w:pPr>
        <w:ind w:left="720" w:hanging="360"/>
      </w:pPr>
      <w:rPr>
        <w:rFonts w:ascii="Wingdings" w:eastAsia="Times New Roman" w:hAnsi="Wingdings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81C"/>
    <w:rsid w:val="0001678B"/>
    <w:rsid w:val="00080782"/>
    <w:rsid w:val="001F3D24"/>
    <w:rsid w:val="0045419D"/>
    <w:rsid w:val="0048561E"/>
    <w:rsid w:val="006860D3"/>
    <w:rsid w:val="00772585"/>
    <w:rsid w:val="007F31D8"/>
    <w:rsid w:val="00815E02"/>
    <w:rsid w:val="008359EF"/>
    <w:rsid w:val="0089009E"/>
    <w:rsid w:val="009A7C91"/>
    <w:rsid w:val="00A5003D"/>
    <w:rsid w:val="00AF2406"/>
    <w:rsid w:val="00D25AE0"/>
    <w:rsid w:val="00D31A20"/>
    <w:rsid w:val="00DC5416"/>
    <w:rsid w:val="00E1155C"/>
    <w:rsid w:val="00F2081C"/>
    <w:rsid w:val="00F338DD"/>
    <w:rsid w:val="00FA0137"/>
    <w:rsid w:val="00FA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2081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GB" w:eastAsia="bg-BG"/>
    </w:rPr>
  </w:style>
  <w:style w:type="character" w:customStyle="1" w:styleId="HeaderChar">
    <w:name w:val="Header Char"/>
    <w:basedOn w:val="DefaultParagraphFont"/>
    <w:link w:val="Header"/>
    <w:rsid w:val="00F2081C"/>
    <w:rPr>
      <w:rFonts w:ascii="Calibri" w:eastAsia="Calibri" w:hAnsi="Calibri" w:cs="Times New Roman"/>
      <w:lang w:val="en-GB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81C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F2081C"/>
    <w:rPr>
      <w:position w:val="0"/>
      <w:vertAlign w:val="superscript"/>
    </w:rPr>
  </w:style>
  <w:style w:type="paragraph" w:styleId="FootnoteText">
    <w:name w:val="footnote text"/>
    <w:basedOn w:val="Normal"/>
    <w:link w:val="FootnoteTextChar"/>
    <w:rsid w:val="00F2081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rsid w:val="00F2081C"/>
    <w:rPr>
      <w:rFonts w:ascii="Calibri" w:eastAsia="Times New Roman" w:hAnsi="Calibri" w:cs="Times New Roman"/>
      <w:sz w:val="24"/>
      <w:szCs w:val="20"/>
      <w:lang w:val="en-US" w:eastAsia="ar-SA"/>
    </w:rPr>
  </w:style>
  <w:style w:type="paragraph" w:styleId="ListParagraph">
    <w:name w:val="List Paragraph"/>
    <w:basedOn w:val="Normal"/>
    <w:rsid w:val="00F2081C"/>
    <w:pPr>
      <w:suppressAutoHyphens/>
      <w:autoSpaceDN w:val="0"/>
      <w:spacing w:after="240" w:line="240" w:lineRule="auto"/>
      <w:ind w:left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Tekstkader">
    <w:name w:val="Tekstkader"/>
    <w:basedOn w:val="Normal"/>
    <w:rsid w:val="00F2081C"/>
    <w:pPr>
      <w:pBdr>
        <w:left w:val="single" w:sz="4" w:space="4" w:color="006487"/>
      </w:pBdr>
      <w:suppressAutoHyphens/>
      <w:overflowPunct w:val="0"/>
      <w:autoSpaceDE w:val="0"/>
      <w:autoSpaceDN w:val="0"/>
      <w:spacing w:after="0" w:line="280" w:lineRule="exact"/>
      <w:ind w:left="113"/>
      <w:textAlignment w:val="baseline"/>
    </w:pPr>
    <w:rPr>
      <w:rFonts w:ascii="Frutiger Roman" w:eastAsia="Times New Roman" w:hAnsi="Frutiger Roman" w:cs="Times New Roman"/>
      <w:color w:val="006487"/>
      <w:sz w:val="16"/>
      <w:szCs w:val="20"/>
      <w:lang w:val="en-GB" w:eastAsia="nl-NL"/>
    </w:rPr>
  </w:style>
  <w:style w:type="paragraph" w:styleId="Footer">
    <w:name w:val="footer"/>
    <w:basedOn w:val="Normal"/>
    <w:link w:val="FooterChar"/>
    <w:uiPriority w:val="99"/>
    <w:unhideWhenUsed/>
    <w:rsid w:val="00D31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2081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GB" w:eastAsia="bg-BG"/>
    </w:rPr>
  </w:style>
  <w:style w:type="character" w:customStyle="1" w:styleId="HeaderChar">
    <w:name w:val="Header Char"/>
    <w:basedOn w:val="DefaultParagraphFont"/>
    <w:link w:val="Header"/>
    <w:rsid w:val="00F2081C"/>
    <w:rPr>
      <w:rFonts w:ascii="Calibri" w:eastAsia="Calibri" w:hAnsi="Calibri" w:cs="Times New Roman"/>
      <w:lang w:val="en-GB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81C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F2081C"/>
    <w:rPr>
      <w:position w:val="0"/>
      <w:vertAlign w:val="superscript"/>
    </w:rPr>
  </w:style>
  <w:style w:type="paragraph" w:styleId="FootnoteText">
    <w:name w:val="footnote text"/>
    <w:basedOn w:val="Normal"/>
    <w:link w:val="FootnoteTextChar"/>
    <w:rsid w:val="00F2081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rsid w:val="00F2081C"/>
    <w:rPr>
      <w:rFonts w:ascii="Calibri" w:eastAsia="Times New Roman" w:hAnsi="Calibri" w:cs="Times New Roman"/>
      <w:sz w:val="24"/>
      <w:szCs w:val="20"/>
      <w:lang w:val="en-US" w:eastAsia="ar-SA"/>
    </w:rPr>
  </w:style>
  <w:style w:type="paragraph" w:styleId="ListParagraph">
    <w:name w:val="List Paragraph"/>
    <w:basedOn w:val="Normal"/>
    <w:rsid w:val="00F2081C"/>
    <w:pPr>
      <w:suppressAutoHyphens/>
      <w:autoSpaceDN w:val="0"/>
      <w:spacing w:after="240" w:line="240" w:lineRule="auto"/>
      <w:ind w:left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Tekstkader">
    <w:name w:val="Tekstkader"/>
    <w:basedOn w:val="Normal"/>
    <w:rsid w:val="00F2081C"/>
    <w:pPr>
      <w:pBdr>
        <w:left w:val="single" w:sz="4" w:space="4" w:color="006487"/>
      </w:pBdr>
      <w:suppressAutoHyphens/>
      <w:overflowPunct w:val="0"/>
      <w:autoSpaceDE w:val="0"/>
      <w:autoSpaceDN w:val="0"/>
      <w:spacing w:after="0" w:line="280" w:lineRule="exact"/>
      <w:ind w:left="113"/>
      <w:textAlignment w:val="baseline"/>
    </w:pPr>
    <w:rPr>
      <w:rFonts w:ascii="Frutiger Roman" w:eastAsia="Times New Roman" w:hAnsi="Frutiger Roman" w:cs="Times New Roman"/>
      <w:color w:val="006487"/>
      <w:sz w:val="16"/>
      <w:szCs w:val="20"/>
      <w:lang w:val="en-GB" w:eastAsia="nl-NL"/>
    </w:rPr>
  </w:style>
  <w:style w:type="paragraph" w:styleId="Footer">
    <w:name w:val="footer"/>
    <w:basedOn w:val="Normal"/>
    <w:link w:val="FooterChar"/>
    <w:uiPriority w:val="99"/>
    <w:unhideWhenUsed/>
    <w:rsid w:val="00D31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80358-0B92-46F3-A71C-026CAEE6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12</Pages>
  <Words>3930</Words>
  <Characters>22403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Dimitrova</dc:creator>
  <cp:keywords/>
  <dc:description/>
  <cp:lastModifiedBy>HristovaA</cp:lastModifiedBy>
  <cp:revision>12</cp:revision>
  <dcterms:created xsi:type="dcterms:W3CDTF">2014-08-14T08:39:00Z</dcterms:created>
  <dcterms:modified xsi:type="dcterms:W3CDTF">2014-09-04T09:56:00Z</dcterms:modified>
</cp:coreProperties>
</file>